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A5" w:rsidRDefault="00A677A5" w:rsidP="00A677A5">
      <w:pPr>
        <w:spacing w:before="285" w:after="90" w:line="240" w:lineRule="auto"/>
        <w:ind w:left="720"/>
        <w:jc w:val="center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</w:p>
    <w:p w:rsidR="0017332F" w:rsidRPr="0017332F" w:rsidRDefault="0017332F" w:rsidP="00A677A5">
      <w:pPr>
        <w:spacing w:before="285" w:after="90" w:line="240" w:lineRule="auto"/>
        <w:ind w:left="720"/>
        <w:jc w:val="center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  <w:t xml:space="preserve">What Does the Audit Supervisor Look For in the Phase </w:t>
      </w:r>
      <w:proofErr w:type="gramStart"/>
      <w:r w:rsidRPr="0017332F"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  <w:t>I</w:t>
      </w:r>
      <w:proofErr w:type="gramEnd"/>
      <w:r w:rsidRPr="0017332F"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  <w:t xml:space="preserve"> Desk Audit?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Actuarial report and summary audit findings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Participation in the Alternative Composite Deposit (ASP)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 xml:space="preserve">The </w:t>
      </w:r>
      <w:proofErr w:type="spellStart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self insured</w:t>
      </w:r>
      <w:proofErr w:type="spellEnd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 xml:space="preserve"> is a </w:t>
      </w:r>
      <w:proofErr w:type="spellStart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Self Insured</w:t>
      </w:r>
      <w:proofErr w:type="spellEnd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 xml:space="preserve"> Group (SIG)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Failure to file an actuarial report and summary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Prior audit results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TPA location’s history of audit findings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Review of the most recent annual report to determine:</w:t>
      </w:r>
    </w:p>
    <w:p w:rsidR="0017332F" w:rsidRPr="0017332F" w:rsidRDefault="0017332F" w:rsidP="0017332F">
      <w:pPr>
        <w:spacing w:before="285" w:after="90" w:line="240" w:lineRule="auto"/>
        <w:ind w:left="1440"/>
        <w:contextualSpacing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a) The rate of injury</w:t>
      </w:r>
    </w:p>
    <w:p w:rsidR="0017332F" w:rsidRPr="0017332F" w:rsidRDefault="0017332F" w:rsidP="0017332F">
      <w:pPr>
        <w:spacing w:before="285" w:after="90" w:line="240" w:lineRule="auto"/>
        <w:ind w:left="1440"/>
        <w:contextualSpacing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proofErr w:type="gramStart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b)</w:t>
      </w:r>
      <w:proofErr w:type="gramEnd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The rate of medical-only claims</w:t>
      </w:r>
    </w:p>
    <w:p w:rsidR="0017332F" w:rsidRPr="0017332F" w:rsidRDefault="0017332F" w:rsidP="0017332F">
      <w:pPr>
        <w:spacing w:before="285" w:after="90" w:line="240" w:lineRule="auto"/>
        <w:ind w:left="1440"/>
        <w:contextualSpacing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c) EFL compared to prior years</w:t>
      </w:r>
    </w:p>
    <w:p w:rsidR="0017332F" w:rsidRPr="0017332F" w:rsidRDefault="0017332F" w:rsidP="0017332F">
      <w:pPr>
        <w:spacing w:before="285" w:after="90" w:line="240" w:lineRule="auto"/>
        <w:ind w:left="1440"/>
        <w:contextualSpacing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d) Accuracy of specific excess coverage</w:t>
      </w:r>
    </w:p>
    <w:p w:rsidR="0017332F" w:rsidRPr="0017332F" w:rsidRDefault="0017332F" w:rsidP="0017332F">
      <w:pPr>
        <w:spacing w:before="285" w:after="90" w:line="240" w:lineRule="auto"/>
        <w:ind w:left="1440"/>
        <w:contextualSpacing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e) All locations noted in the annual report.</w:t>
      </w:r>
    </w:p>
    <w:p w:rsidR="0017332F" w:rsidRPr="0017332F" w:rsidRDefault="0017332F" w:rsidP="001733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Review the claims logs to determine:</w:t>
      </w:r>
    </w:p>
    <w:p w:rsidR="0017332F" w:rsidRPr="0017332F" w:rsidRDefault="0017332F" w:rsidP="0017332F">
      <w:pPr>
        <w:spacing w:before="285" w:after="90" w:line="240" w:lineRule="auto"/>
        <w:ind w:left="1440"/>
        <w:contextualSpacing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a) Timely reporting of claims to the administrator</w:t>
      </w:r>
    </w:p>
    <w:p w:rsidR="0017332F" w:rsidRPr="0017332F" w:rsidRDefault="0017332F" w:rsidP="0017332F">
      <w:pPr>
        <w:spacing w:before="285" w:after="90" w:line="240" w:lineRule="auto"/>
        <w:ind w:left="1440"/>
        <w:contextualSpacing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b) Accuracy of the number of claims reported in the annual report.</w:t>
      </w:r>
    </w:p>
    <w:p w:rsidR="0017332F" w:rsidRDefault="0017332F" w:rsidP="00A677A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 xml:space="preserve">Claims administrators handling the claims have passed the </w:t>
      </w:r>
      <w:proofErr w:type="spellStart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>self insured</w:t>
      </w:r>
      <w:proofErr w:type="spellEnd"/>
      <w:r w:rsidRPr="0017332F"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  <w:t xml:space="preserve"> administrator’s test</w:t>
      </w:r>
    </w:p>
    <w:p w:rsidR="00A677A5" w:rsidRDefault="00A677A5" w:rsidP="00A677A5">
      <w:pPr>
        <w:widowControl w:val="0"/>
        <w:overflowPunct w:val="0"/>
        <w:autoSpaceDE w:val="0"/>
        <w:autoSpaceDN w:val="0"/>
        <w:adjustRightInd w:val="0"/>
        <w:spacing w:before="285" w:after="90" w:line="24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4D5253"/>
          <w:sz w:val="19"/>
          <w:szCs w:val="19"/>
          <w:lang w:val="en"/>
        </w:rPr>
      </w:pPr>
    </w:p>
    <w:p w:rsidR="00A677A5" w:rsidRDefault="00A677A5" w:rsidP="0017332F">
      <w:pPr>
        <w:spacing w:before="285" w:after="90" w:line="240" w:lineRule="auto"/>
        <w:jc w:val="center"/>
        <w:outlineLvl w:val="1"/>
        <w:rPr>
          <w:rFonts w:ascii="Trebuchet MS" w:eastAsia="Times New Roman" w:hAnsi="Trebuchet MS" w:cs="Arial"/>
          <w:b/>
          <w:sz w:val="28"/>
          <w:szCs w:val="28"/>
          <w:lang w:val="en"/>
        </w:rPr>
      </w:pPr>
    </w:p>
    <w:p w:rsidR="0017332F" w:rsidRPr="0017332F" w:rsidRDefault="0017332F" w:rsidP="00A677A5">
      <w:pPr>
        <w:spacing w:before="285" w:after="9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 w:rsidRPr="0017332F">
        <w:rPr>
          <w:rFonts w:ascii="Trebuchet MS" w:eastAsia="Times New Roman" w:hAnsi="Trebuchet MS" w:cs="Arial"/>
          <w:b/>
          <w:sz w:val="28"/>
          <w:szCs w:val="28"/>
          <w:lang w:val="en"/>
        </w:rPr>
        <w:t>What Does the Auditor Look For in the Phase II Field Audit?</w:t>
      </w:r>
    </w:p>
    <w:p w:rsidR="0017332F" w:rsidRPr="0017332F" w:rsidRDefault="00ED662E" w:rsidP="0017332F">
      <w:pPr>
        <w:spacing w:before="285" w:after="90" w:line="240" w:lineRule="auto"/>
        <w:outlineLvl w:val="1"/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</w:pPr>
      <w:r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  <w:t xml:space="preserve"> </w:t>
      </w:r>
      <w:r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  <w:tab/>
      </w:r>
      <w:r w:rsidR="0017332F" w:rsidRPr="0017332F">
        <w:rPr>
          <w:rFonts w:ascii="Trebuchet MS" w:eastAsia="Times New Roman" w:hAnsi="Trebuchet MS" w:cs="Arial"/>
          <w:b/>
          <w:bCs/>
          <w:color w:val="4D5253"/>
          <w:sz w:val="28"/>
          <w:szCs w:val="28"/>
          <w:lang w:val="en"/>
        </w:rPr>
        <w:t>Claims Administration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b/>
          <w:bCs/>
          <w:color w:val="333333"/>
          <w:sz w:val="19"/>
          <w:szCs w:val="19"/>
          <w:lang w:val="en"/>
        </w:rPr>
        <w:t xml:space="preserve">1) CCR §15452: Competency – (who is making reserving and claims decisions?) and LC §3702.1.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a. Reserving and claims decisions must be made by the claims administrator and not the employer.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>2</w:t>
      </w:r>
      <w:r w:rsidRPr="0017332F">
        <w:rPr>
          <w:rFonts w:ascii="Arial" w:eastAsia="Times New Roman" w:hAnsi="Arial" w:cs="Arial"/>
          <w:b/>
          <w:bCs/>
          <w:color w:val="333333"/>
          <w:sz w:val="19"/>
          <w:szCs w:val="19"/>
          <w:lang w:val="en"/>
        </w:rPr>
        <w:t xml:space="preserve">) Claims Administration per CCR §15458: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a. Compliance to statutes and regulatory requirements (§15420) pursuant to L.C. §§129, 3700-3709.5. Failure to comply may be good cause for revocation of Certificate or other action by the Director.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</w:r>
      <w:proofErr w:type="spell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i</w:t>
      </w:r>
      <w:proofErr w:type="spell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. LC § 129 is specific to delivery of benefits/claims administration. Claim files are reviewed for claims administration and appropriate delivery of benefits. Therefore, other sections of the Labor Code </w:t>
      </w:r>
      <w:proofErr w:type="gram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come</w:t>
      </w:r>
      <w:proofErr w:type="gram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 into play. These include: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1. </w:t>
      </w:r>
      <w:proofErr w:type="gram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benefit</w:t>
      </w:r>
      <w:proofErr w:type="gram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 notices (the employee is advised of his/her benefits and how benefits are administered; the employee is advised of his/her remedies);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2. </w:t>
      </w:r>
      <w:proofErr w:type="gram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timely</w:t>
      </w:r>
      <w:proofErr w:type="gram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 and proper provision of benefits (both indemnity and medical);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3. </w:t>
      </w:r>
      <w:proofErr w:type="gram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proper</w:t>
      </w:r>
      <w:proofErr w:type="gram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 denial of a claim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ii. LC § 3700 series is specific to self-insurance plans.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lastRenderedPageBreak/>
        <w:br/>
        <w:t xml:space="preserve">1. §3702 outlines practices which constitutes good cause for revoking a Certificate to administer claims or to self-insure.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2. §3702.1 speaks to making “the estimate both in good faith and with the exercise of a reasonable degree of care.”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3. §3702.2 is regarding the annual report. Auditors look for accuracy of the annual report as to: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a. The number of claims reported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b. Reserves and payments made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c. Excess carrier liability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4. §3702.7 reiterates §3702 and what fines the Director may impose in lieu of revocation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5. §§3702.8 and 3702.9 talk of the obligations of self-insured employers who have ceased to be self-insured and remedies/penalties for failure to comply with obligations.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b. Compliance to Article 6 of the self-insurance regulations: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</w:r>
      <w:proofErr w:type="spell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i</w:t>
      </w:r>
      <w:proofErr w:type="spell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. §§ 15300(a) and (b) – annual report requirements and components of the annual report which the auditor verifies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ii. §§15300(b) through (d) are estimating guidelines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iii. §§15300(e) and (f) is regarding excess carrier liability and credit for claims covered by specific excess insurance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iv. §15300(g) specifies when to adjust estimates/reserves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c. Compliance to Article 9 – Recordkeeping and Audits (Sections 15400-15406)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</w:r>
      <w:proofErr w:type="spell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i</w:t>
      </w:r>
      <w:proofErr w:type="spell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. In addition to CCR§15400, the claim file contents and maintenance includes those specified under §§10101 and 10101.1 (Audit Unit Regulations)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</w:r>
      <w:r w:rsidRPr="0017332F">
        <w:rPr>
          <w:rFonts w:ascii="Arial" w:eastAsia="Times New Roman" w:hAnsi="Arial" w:cs="Arial"/>
          <w:b/>
          <w:bCs/>
          <w:color w:val="333333"/>
          <w:sz w:val="19"/>
          <w:szCs w:val="19"/>
          <w:lang w:val="en"/>
        </w:rPr>
        <w:t xml:space="preserve">3) Closed Files: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a. Was the employee provided all appropriate benefits and advised of all remedies he/she is entitled to?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b. For claims with future benefits, are they in compliance with §15400.2?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c. Were all liens paid and/or fully satisfied prior to closure?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>d. Where applications for adjudication of claims were filed, was there a final judgment (</w:t>
      </w:r>
      <w:proofErr w:type="spell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ie</w:t>
      </w:r>
      <w:proofErr w:type="spell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, dismissal, award) prior to closure?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</w:r>
      <w:r w:rsidRPr="0017332F">
        <w:rPr>
          <w:rFonts w:ascii="Arial" w:eastAsia="Times New Roman" w:hAnsi="Arial" w:cs="Arial"/>
          <w:b/>
          <w:bCs/>
          <w:color w:val="333333"/>
          <w:sz w:val="19"/>
          <w:szCs w:val="19"/>
          <w:lang w:val="en"/>
        </w:rPr>
        <w:t xml:space="preserve">4) Denied Files: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>a. Proper denial of claim. Look for potential violation of 3702(a</w:t>
      </w:r>
      <w:proofErr w:type="gramStart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)(</w:t>
      </w:r>
      <w:proofErr w:type="gramEnd"/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1) through (5)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b. If the claim is found to be industrial, were benefits provided timely after knowledge?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</w:r>
      <w:r w:rsidRPr="0017332F">
        <w:rPr>
          <w:rFonts w:ascii="Arial" w:eastAsia="Times New Roman" w:hAnsi="Arial" w:cs="Arial"/>
          <w:b/>
          <w:bCs/>
          <w:color w:val="333333"/>
          <w:sz w:val="19"/>
          <w:szCs w:val="19"/>
          <w:lang w:val="en"/>
        </w:rPr>
        <w:t xml:space="preserve">5) Problems with paperless files: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a. Document labeling </w:t>
      </w:r>
    </w:p>
    <w:p w:rsidR="0017332F" w:rsidRPr="0017332F" w:rsidRDefault="0017332F" w:rsidP="0017332F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lastRenderedPageBreak/>
        <w:br/>
        <w:t xml:space="preserve">b. Multiple applications </w:t>
      </w:r>
    </w:p>
    <w:p w:rsidR="0017332F" w:rsidRPr="0017332F" w:rsidRDefault="0017332F" w:rsidP="00ED662E">
      <w:pPr>
        <w:spacing w:after="0" w:line="240" w:lineRule="auto"/>
        <w:ind w:left="87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>c. Partial paper and partial paperless files</w:t>
      </w:r>
    </w:p>
    <w:p w:rsidR="0017332F" w:rsidRPr="0017332F" w:rsidRDefault="00ED662E" w:rsidP="00ED662E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right="1152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en"/>
        </w:rPr>
        <w:br/>
        <w:t xml:space="preserve"> </w:t>
      </w:r>
      <w:r w:rsidR="0017332F"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d. No</w:t>
      </w:r>
      <w:bookmarkStart w:id="0" w:name="_GoBack"/>
      <w:bookmarkEnd w:id="0"/>
      <w:r w:rsidR="0017332F" w:rsidRPr="0017332F">
        <w:rPr>
          <w:rFonts w:ascii="Arial" w:eastAsia="Times New Roman" w:hAnsi="Arial" w:cs="Arial"/>
          <w:color w:val="333333"/>
          <w:sz w:val="19"/>
          <w:szCs w:val="19"/>
          <w:lang w:val="en"/>
        </w:rPr>
        <w:t>t allowing the auditors to see all parts of the paperless system</w:t>
      </w:r>
    </w:p>
    <w:p w:rsidR="005361C9" w:rsidRDefault="005361C9"/>
    <w:p w:rsidR="0017332F" w:rsidRDefault="0017332F"/>
    <w:sectPr w:rsidR="0017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358E"/>
    <w:multiLevelType w:val="hybridMultilevel"/>
    <w:tmpl w:val="B2142E18"/>
    <w:lvl w:ilvl="0" w:tplc="33906E7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2F"/>
    <w:rsid w:val="000007F2"/>
    <w:rsid w:val="00037229"/>
    <w:rsid w:val="00061193"/>
    <w:rsid w:val="000A4C5A"/>
    <w:rsid w:val="000B5A62"/>
    <w:rsid w:val="0010300B"/>
    <w:rsid w:val="00130631"/>
    <w:rsid w:val="001372F6"/>
    <w:rsid w:val="0014128D"/>
    <w:rsid w:val="0017332F"/>
    <w:rsid w:val="001B59B9"/>
    <w:rsid w:val="001E44C7"/>
    <w:rsid w:val="0021591F"/>
    <w:rsid w:val="00221ACE"/>
    <w:rsid w:val="002B769B"/>
    <w:rsid w:val="002D62A5"/>
    <w:rsid w:val="002E3F84"/>
    <w:rsid w:val="002F7ABD"/>
    <w:rsid w:val="00314E23"/>
    <w:rsid w:val="00324672"/>
    <w:rsid w:val="00392670"/>
    <w:rsid w:val="003D0A68"/>
    <w:rsid w:val="004026C4"/>
    <w:rsid w:val="004304E3"/>
    <w:rsid w:val="004A02F8"/>
    <w:rsid w:val="005361C9"/>
    <w:rsid w:val="00536DCF"/>
    <w:rsid w:val="005D204B"/>
    <w:rsid w:val="005E2F77"/>
    <w:rsid w:val="006A4D31"/>
    <w:rsid w:val="00761345"/>
    <w:rsid w:val="007B5D2A"/>
    <w:rsid w:val="007C5952"/>
    <w:rsid w:val="00830EE5"/>
    <w:rsid w:val="00846B5B"/>
    <w:rsid w:val="00865372"/>
    <w:rsid w:val="00904BFF"/>
    <w:rsid w:val="00971293"/>
    <w:rsid w:val="009960B7"/>
    <w:rsid w:val="00A07C70"/>
    <w:rsid w:val="00A44FC2"/>
    <w:rsid w:val="00A677A5"/>
    <w:rsid w:val="00AA73D6"/>
    <w:rsid w:val="00AD16F9"/>
    <w:rsid w:val="00B30FBC"/>
    <w:rsid w:val="00BB68E8"/>
    <w:rsid w:val="00C164FD"/>
    <w:rsid w:val="00C60D98"/>
    <w:rsid w:val="00C61DB9"/>
    <w:rsid w:val="00C85B13"/>
    <w:rsid w:val="00CB0EBC"/>
    <w:rsid w:val="00CC0434"/>
    <w:rsid w:val="00CC6B6F"/>
    <w:rsid w:val="00CC7230"/>
    <w:rsid w:val="00CC7851"/>
    <w:rsid w:val="00CD15C8"/>
    <w:rsid w:val="00CF72B6"/>
    <w:rsid w:val="00D12499"/>
    <w:rsid w:val="00D13D82"/>
    <w:rsid w:val="00D70A21"/>
    <w:rsid w:val="00D72F78"/>
    <w:rsid w:val="00D872B2"/>
    <w:rsid w:val="00D94F53"/>
    <w:rsid w:val="00DA0B13"/>
    <w:rsid w:val="00DA4823"/>
    <w:rsid w:val="00DB5CA4"/>
    <w:rsid w:val="00DD1CAF"/>
    <w:rsid w:val="00ED662E"/>
    <w:rsid w:val="00EF18A7"/>
    <w:rsid w:val="00F129DE"/>
    <w:rsid w:val="00F65FBD"/>
    <w:rsid w:val="00F71331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7F2C1D6"/>
  <w15:chartTrackingRefBased/>
  <w15:docId w15:val="{42859B65-861A-466F-9087-CDC55AB8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332F"/>
    <w:rPr>
      <w:strike w:val="0"/>
      <w:dstrike w:val="0"/>
      <w:color w:val="0074B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7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cp:lastModifiedBy>Takimoto, Jordan@DIR</cp:lastModifiedBy>
  <cp:revision>3</cp:revision>
  <cp:lastPrinted>2014-09-10T22:52:00Z</cp:lastPrinted>
  <dcterms:created xsi:type="dcterms:W3CDTF">2019-09-27T20:50:00Z</dcterms:created>
  <dcterms:modified xsi:type="dcterms:W3CDTF">2019-09-30T19:39:00Z</dcterms:modified>
</cp:coreProperties>
</file>