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F7" w:rsidRPr="008E0DC4" w:rsidRDefault="008E0DC4" w:rsidP="008E0DC4">
      <w:pPr>
        <w:jc w:val="center"/>
        <w:rPr>
          <w:rFonts w:ascii="Times New Roman" w:hAnsi="Times New Roman"/>
          <w:sz w:val="32"/>
        </w:rPr>
      </w:pPr>
      <w:bookmarkStart w:id="0" w:name="_GoBack"/>
      <w:bookmarkEnd w:id="0"/>
      <w:r w:rsidRPr="008E0DC4">
        <w:rPr>
          <w:rFonts w:ascii="Times New Roman" w:hAnsi="Times New Roman"/>
          <w:sz w:val="32"/>
        </w:rPr>
        <w:t>AUDIT RULES AND GUIDES</w:t>
      </w:r>
    </w:p>
    <w:p w:rsidR="008E0DC4" w:rsidRDefault="008E0DC4">
      <w:pPr>
        <w:rPr>
          <w:rFonts w:ascii="Times New Roman" w:hAnsi="Times New Roman"/>
          <w:sz w:val="24"/>
        </w:rPr>
      </w:pPr>
    </w:p>
    <w:p w:rsidR="008E0DC4" w:rsidRDefault="008E0D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15403: Audits</w:t>
      </w:r>
    </w:p>
    <w:p w:rsidR="008E0DC4" w:rsidRDefault="008E0DC4" w:rsidP="008E0D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15201: Definitions: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15201(a): Adjusting Locations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15201(d): Administrator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15201(g): Audit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15201(k): Certificate to Administer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15201(l): Claim File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15201(m): Claim Log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15201(n): Compensation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15201(s): First Aid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15201(t): Group Administrator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15201(v): Group Self Insurer</w:t>
      </w:r>
    </w:p>
    <w:p w:rsidR="008E0DC4" w:rsidRP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8E0DC4">
        <w:rPr>
          <w:rFonts w:ascii="Times New Roman" w:hAnsi="Times New Roman"/>
          <w:sz w:val="24"/>
        </w:rPr>
        <w:t>L.C. 3700.1(g): Definition of incurred liabilities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15201(x): Indemnity Claim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15201(cc): Medical-Only Claim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</w:t>
      </w:r>
      <w:proofErr w:type="spellStart"/>
      <w:r>
        <w:rPr>
          <w:rFonts w:ascii="Times New Roman" w:hAnsi="Times New Roman"/>
          <w:sz w:val="24"/>
        </w:rPr>
        <w:t>dd</w:t>
      </w:r>
      <w:proofErr w:type="spellEnd"/>
      <w:r>
        <w:rPr>
          <w:rFonts w:ascii="Times New Roman" w:hAnsi="Times New Roman"/>
          <w:sz w:val="24"/>
        </w:rPr>
        <w:t>): Open Claim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</w:t>
      </w:r>
      <w:proofErr w:type="spellStart"/>
      <w:r>
        <w:rPr>
          <w:rFonts w:ascii="Times New Roman" w:hAnsi="Times New Roman"/>
          <w:sz w:val="24"/>
        </w:rPr>
        <w:t>hh</w:t>
      </w:r>
      <w:proofErr w:type="spellEnd"/>
      <w:r>
        <w:rPr>
          <w:rFonts w:ascii="Times New Roman" w:hAnsi="Times New Roman"/>
          <w:sz w:val="24"/>
        </w:rPr>
        <w:t>): Special Audit</w:t>
      </w:r>
    </w:p>
    <w:p w:rsidR="008E0DC4" w:rsidRP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15201(</w:t>
      </w:r>
      <w:proofErr w:type="spellStart"/>
      <w:r>
        <w:rPr>
          <w:rFonts w:ascii="Times New Roman" w:hAnsi="Times New Roman"/>
          <w:sz w:val="24"/>
        </w:rPr>
        <w:t>kk</w:t>
      </w:r>
      <w:proofErr w:type="spellEnd"/>
      <w:r>
        <w:rPr>
          <w:rFonts w:ascii="Times New Roman" w:hAnsi="Times New Roman"/>
          <w:sz w:val="24"/>
        </w:rPr>
        <w:t>): Work-Injury Claim</w:t>
      </w:r>
    </w:p>
    <w:p w:rsidR="008E0DC4" w:rsidRDefault="008E0DC4" w:rsidP="008E0D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8E0DC4">
        <w:rPr>
          <w:rFonts w:ascii="Times New Roman" w:hAnsi="Times New Roman"/>
          <w:sz w:val="24"/>
        </w:rPr>
        <w:t>15403(a): audit</w:t>
      </w:r>
      <w:r>
        <w:rPr>
          <w:rFonts w:ascii="Times New Roman" w:hAnsi="Times New Roman"/>
          <w:sz w:val="24"/>
        </w:rPr>
        <w:t>s</w:t>
      </w:r>
      <w:r w:rsidRPr="008E0DC4">
        <w:rPr>
          <w:rFonts w:ascii="Times New Roman" w:hAnsi="Times New Roman"/>
          <w:sz w:val="24"/>
        </w:rPr>
        <w:t xml:space="preserve"> pursuant to LC 129 and 3702.6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L.C. 129: Auditing the employers for prompt and accurate provision of compensation to which they are entitled (at least once every five years)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L.C. 3702.6(a): Audits for addressing the adequacy of reserves within a three-year cycle</w:t>
      </w:r>
    </w:p>
    <w:p w:rsidR="00D27C87" w:rsidRDefault="00D27C87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L.C. 3702.8: Continuing obligations of Employers who have ceased to be self-insured</w:t>
      </w:r>
    </w:p>
    <w:p w:rsidR="00D27C87" w:rsidRPr="00D27C87" w:rsidRDefault="008E0DC4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15424: Revoked Certificate Audits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15427: Director’s continuing jurisdiction after revocation of a certificate to self-insure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15404.1: Expense of Revoked Certificate Audits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L.C. 3702.6(c): Special audits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L.C. 3702.5(a): Expense of Special Audits</w:t>
      </w:r>
    </w:p>
    <w:p w:rsidR="008E0DC4" w:rsidRP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 w:rsidRPr="008E0DC4">
        <w:rPr>
          <w:rFonts w:ascii="Times New Roman" w:hAnsi="Times New Roman"/>
          <w:sz w:val="24"/>
        </w:rPr>
        <w:t>CCR 15403.1: Notice of Special Audits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15404.2: Expense of Special Audits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8E0DC4">
        <w:rPr>
          <w:rFonts w:ascii="Times New Roman" w:hAnsi="Times New Roman"/>
          <w:sz w:val="24"/>
        </w:rPr>
        <w:t>15403(b): audit of the files of a telecommuting adjuster or files</w:t>
      </w:r>
      <w:r>
        <w:rPr>
          <w:rFonts w:ascii="Times New Roman" w:hAnsi="Times New Roman"/>
          <w:sz w:val="24"/>
        </w:rPr>
        <w:t xml:space="preserve"> of claims adjusted out of state</w:t>
      </w:r>
      <w:r w:rsidRPr="008E0DC4">
        <w:rPr>
          <w:rFonts w:ascii="Times New Roman" w:hAnsi="Times New Roman"/>
          <w:sz w:val="24"/>
        </w:rPr>
        <w:t xml:space="preserve"> 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15404: Expense of Out-of-State Audits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L.C. 3701.5(d): Default Audits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L.C. 3741(c): Definition of an insolvent self-insurer</w:t>
      </w:r>
    </w:p>
    <w:p w:rsidR="00D27C87" w:rsidRDefault="00D27C87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15431.2: Audit due to complaints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15431.2(a): Complaints of any self-insured employer, administrator, the SISF, or injured employee</w:t>
      </w:r>
    </w:p>
    <w:p w:rsidR="00D27C87" w:rsidRPr="008E0DC4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15431.2(b): investigation of complaints of an injured employee</w:t>
      </w:r>
    </w:p>
    <w:p w:rsidR="008E0DC4" w:rsidRDefault="008E0DC4" w:rsidP="008E0DC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Claims Administration:</w:t>
      </w:r>
    </w:p>
    <w:p w:rsidR="00D27C87" w:rsidRDefault="00D27C87" w:rsidP="008E0D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Competency:</w:t>
      </w:r>
    </w:p>
    <w:p w:rsidR="00D27C87" w:rsidRDefault="00D27C87" w:rsidP="00D27C8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LC 3702.1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3702.1(a): Certificate of consent to administer self-insured employer’s workers’ compensation claims are required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LC 3702.1(b): All denials, acceptance, or decision-making must be made by a person who demonstrates competency by passing the written examination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LC 3702.(c): A separate certificate is required for each adjusting location</w:t>
      </w:r>
    </w:p>
    <w:p w:rsidR="008E0DC4" w:rsidRDefault="008E0DC4" w:rsidP="00D27C8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15452: Administrator Competence</w:t>
      </w:r>
    </w:p>
    <w:p w:rsidR="008E0DC4" w:rsidRDefault="008E0DC4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15452(a): Administration of self-insurance program within California</w:t>
      </w:r>
    </w:p>
    <w:p w:rsidR="008E0DC4" w:rsidRDefault="008E0DC4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15452(b): Competence of an individual person</w:t>
      </w:r>
    </w:p>
    <w:p w:rsidR="008E0DC4" w:rsidRDefault="008E0DC4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15452(f): Competence at each adjusting location; claims decisions, setting of reserves, and proper payment of benefits to injured workers shall be made or reviewed by a person who has passed the self-insurance administrator’s examination</w:t>
      </w:r>
    </w:p>
    <w:p w:rsidR="008E0DC4" w:rsidRDefault="008E0DC4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15452(g): lack of competent administrator at any adjusting location shall be good cause for revocation of the certificate to administer for that location and may be grounds to</w:t>
      </w:r>
      <w:r w:rsidR="00D27C87">
        <w:rPr>
          <w:rFonts w:ascii="Times New Roman" w:hAnsi="Times New Roman"/>
          <w:sz w:val="24"/>
        </w:rPr>
        <w:t xml:space="preserve"> revoke the certificate to self-</w:t>
      </w:r>
      <w:r>
        <w:rPr>
          <w:rFonts w:ascii="Times New Roman" w:hAnsi="Times New Roman"/>
          <w:sz w:val="24"/>
        </w:rPr>
        <w:t>insure.</w:t>
      </w:r>
    </w:p>
    <w:p w:rsidR="008E0DC4" w:rsidRPr="008E0DC4" w:rsidRDefault="008E0DC4" w:rsidP="008E0D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 w:rsidRPr="008E0DC4">
        <w:rPr>
          <w:rFonts w:ascii="Times New Roman" w:hAnsi="Times New Roman"/>
          <w:sz w:val="24"/>
        </w:rPr>
        <w:t>CCR 15420: Compliance with Statute and Regulatory Requirements</w:t>
      </w:r>
    </w:p>
    <w:p w:rsidR="008E0DC4" w:rsidRDefault="008E0DC4" w:rsidP="008E0DC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15458: Claims Administration and Recordkeeping in accordance with the provisions of Articles 6 and 9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Article 6: Estimating Work and Injury Claims and Medical Reports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15300(a): List of open indemnity claims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15300(b): Estimates of future liability based on information in possession of the administrator at the ending date of the period of time covered by the annual report.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15300(b)(1): Indemnity and Medical Components; 132a, 4553, and 5814 filings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15300(b)(2): Estimating for future permanent disability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15300(b)(3): Estimating for future medical costs in claims where the employee’s condition is not MMI/P&amp;S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CCR 15300(b)(4): Estimating for future medical costs in claims where the employee’s condition is MMI/P&amp;S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15300(b)(5): Increases and decreases on average past costs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15300(b)(6): Reductions allowed/not allowed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15300(b)(7): Use of the life expectancy table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15300(b)(8): Estimates of PD and apportionment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15300(b)(9): Present value of future benefits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15300(c): Estimates of medical-only claims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15300(d): Projected third party recoveries or projected reimbursements from aggregate excess insurance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15300(e): Excess claims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15300(f): Availability of estimates immediately upon request of the Manager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15300(g): When to adjust estimates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15301: Revision of estimates by the Manager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15302: Request for medical report if deemed necessary by the Manager</w:t>
      </w:r>
    </w:p>
    <w:p w:rsidR="008E0DC4" w:rsidRP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15303: Reserving full cost of medical, surgical, hospital services</w:t>
      </w:r>
    </w:p>
    <w:p w:rsidR="008E0DC4" w:rsidRDefault="008E0DC4" w:rsidP="008E0DC4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Article 9: Recordkeeping and Audits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Claim File Contents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15400(a): Claim File Contents in accordance with Title 8, Section 10101 and 10101.1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15400(b): Claim file contents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15400(c): Claim file organization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Claim Log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15400.1: Manual or computerized claim log</w:t>
      </w:r>
    </w:p>
    <w:p w:rsidR="00D27C87" w:rsidRDefault="00D27C87" w:rsidP="00D27C87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15400.2: Maintenance of Records</w:t>
      </w:r>
    </w:p>
    <w:p w:rsidR="00D27C87" w:rsidRDefault="00D27C87" w:rsidP="00D27C87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15400.2(a): Maintenance of a claim files and exception to the destruction</w:t>
      </w:r>
    </w:p>
    <w:p w:rsidR="00D27C87" w:rsidRDefault="00D27C87" w:rsidP="00D27C87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15400.2(b): Inactive and closed claim files</w:t>
      </w:r>
    </w:p>
    <w:p w:rsidR="00D27C87" w:rsidRDefault="00D27C87" w:rsidP="00D27C87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15400.2(c): Location of claim files</w:t>
      </w:r>
    </w:p>
    <w:p w:rsidR="00D27C87" w:rsidRDefault="00D27C87" w:rsidP="00D27C87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15400.2(d): Availability of all files and logs for inspection</w:t>
      </w:r>
    </w:p>
    <w:p w:rsidR="008E0DC4" w:rsidRDefault="008E0DC4" w:rsidP="008E0DC4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Change of administrator: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15402: Notice of change of administrator and location of records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15402(b): The new administrator shall report any changes in writing to Manager no later than the date of the change; includes any changes in location(s)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15402.2: Report of Transfer of Records</w:t>
      </w:r>
    </w:p>
    <w:p w:rsidR="008E0DC4" w:rsidRDefault="008E0DC4" w:rsidP="008E0DC4">
      <w:pPr>
        <w:pStyle w:val="ListParagraph"/>
        <w:numPr>
          <w:ilvl w:val="4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CCR 15402.2(a): Former administrative agency’s responsibilities at transfer</w:t>
      </w:r>
    </w:p>
    <w:p w:rsidR="008E0DC4" w:rsidRDefault="008E0DC4" w:rsidP="008E0DC4">
      <w:pPr>
        <w:pStyle w:val="ListParagraph"/>
        <w:numPr>
          <w:ilvl w:val="4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15402.2(b): All claim files and logs are property of the self-insurer; claim file transfers</w:t>
      </w:r>
    </w:p>
    <w:p w:rsidR="008E0DC4" w:rsidRDefault="008E0DC4" w:rsidP="008E0DC4">
      <w:pPr>
        <w:pStyle w:val="ListParagraph"/>
        <w:numPr>
          <w:ilvl w:val="4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15402.2(c): Failure to provide a report of transfer of records</w:t>
      </w:r>
    </w:p>
    <w:p w:rsidR="008E0DC4" w:rsidRDefault="008E0DC4" w:rsidP="008E0DC4">
      <w:pPr>
        <w:pStyle w:val="ListParagraph"/>
        <w:numPr>
          <w:ilvl w:val="3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15402.4: Transfer of Claim Files and Computerized Claim File Data Information</w:t>
      </w:r>
    </w:p>
    <w:p w:rsidR="008E0DC4" w:rsidRDefault="008E0DC4" w:rsidP="008E0DC4">
      <w:pPr>
        <w:pStyle w:val="ListParagraph"/>
        <w:numPr>
          <w:ilvl w:val="4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15402.4(a): Transfer of open claim files</w:t>
      </w:r>
    </w:p>
    <w:p w:rsidR="008E0DC4" w:rsidRDefault="008E0DC4" w:rsidP="008E0DC4">
      <w:pPr>
        <w:pStyle w:val="ListParagraph"/>
        <w:numPr>
          <w:ilvl w:val="4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15402.4(b): Transfer of closed claim files</w:t>
      </w:r>
    </w:p>
    <w:p w:rsidR="008E0DC4" w:rsidRDefault="008E0DC4" w:rsidP="008E0DC4">
      <w:pPr>
        <w:pStyle w:val="ListParagraph"/>
        <w:numPr>
          <w:ilvl w:val="4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CCR 15402.4(c): Transfer of computerized claim file data</w:t>
      </w:r>
    </w:p>
    <w:p w:rsidR="008E0DC4" w:rsidRPr="00D27C87" w:rsidRDefault="008E0DC4" w:rsidP="00D27C8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</w:rPr>
      </w:pPr>
      <w:r w:rsidRPr="008E0DC4">
        <w:rPr>
          <w:rFonts w:ascii="Times New Roman" w:hAnsi="Times New Roman"/>
          <w:sz w:val="24"/>
        </w:rPr>
        <w:t xml:space="preserve">CCR 15428: Administration of Claims after Revocation </w:t>
      </w:r>
    </w:p>
    <w:sectPr w:rsidR="008E0DC4" w:rsidRPr="00D27C87" w:rsidSect="005D4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312" w:rsidRDefault="00E20312" w:rsidP="008E0DC4">
      <w:pPr>
        <w:spacing w:after="0" w:line="240" w:lineRule="auto"/>
      </w:pPr>
      <w:r>
        <w:separator/>
      </w:r>
    </w:p>
  </w:endnote>
  <w:endnote w:type="continuationSeparator" w:id="0">
    <w:p w:rsidR="00E20312" w:rsidRDefault="00E20312" w:rsidP="008E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312" w:rsidRDefault="00E20312" w:rsidP="008E0DC4">
      <w:pPr>
        <w:spacing w:after="0" w:line="240" w:lineRule="auto"/>
      </w:pPr>
      <w:r>
        <w:separator/>
      </w:r>
    </w:p>
  </w:footnote>
  <w:footnote w:type="continuationSeparator" w:id="0">
    <w:p w:rsidR="00E20312" w:rsidRDefault="00E20312" w:rsidP="008E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C4E6B"/>
    <w:multiLevelType w:val="hybridMultilevel"/>
    <w:tmpl w:val="084C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B4B"/>
    <w:multiLevelType w:val="hybridMultilevel"/>
    <w:tmpl w:val="EE142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67"/>
    <w:rsid w:val="00200882"/>
    <w:rsid w:val="005D4FE8"/>
    <w:rsid w:val="006016F7"/>
    <w:rsid w:val="00654067"/>
    <w:rsid w:val="006F0477"/>
    <w:rsid w:val="007B487F"/>
    <w:rsid w:val="007E425A"/>
    <w:rsid w:val="008E0DC4"/>
    <w:rsid w:val="00B154F5"/>
    <w:rsid w:val="00D27C87"/>
    <w:rsid w:val="00E20312"/>
    <w:rsid w:val="00EB5B86"/>
    <w:rsid w:val="00F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AB8557B2-3FDE-43D6-B97F-677652D1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FE8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DC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E0DC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DC4"/>
    <w:rPr>
      <w:rFonts w:ascii="Calibri" w:hAnsi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0D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E6EF-44A3-4A66-BDB9-533CE1AD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Industrial Relations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Takimoto, Jordan@DIR</cp:lastModifiedBy>
  <cp:revision>2</cp:revision>
  <dcterms:created xsi:type="dcterms:W3CDTF">2019-09-27T20:52:00Z</dcterms:created>
  <dcterms:modified xsi:type="dcterms:W3CDTF">2019-09-27T20:52:00Z</dcterms:modified>
</cp:coreProperties>
</file>