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rsidP="00AA43C8">
      <w:pPr>
        <w:spacing w:before="240"/>
        <w:ind w:left="-720" w:right="-720"/>
        <w:jc w:val="center"/>
        <w:outlineLvl w:val="0"/>
        <w:rPr>
          <w:rFonts w:cs="Arial"/>
          <w:szCs w:val="24"/>
        </w:rPr>
      </w:pPr>
      <w:bookmarkStart w:id="0" w:name="_GoBack"/>
      <w:bookmarkEnd w:id="0"/>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rsidP="001907C1">
      <w:pPr>
        <w:spacing w:after="240"/>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7951CA9D"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DD30FF">
        <w:rPr>
          <w:rFonts w:cs="Arial"/>
          <w:b/>
          <w:bCs/>
          <w:szCs w:val="24"/>
        </w:rPr>
        <w:t>October</w:t>
      </w:r>
      <w:r w:rsidRPr="009146DC">
        <w:rPr>
          <w:rFonts w:cs="Arial"/>
          <w:b/>
          <w:bCs/>
          <w:szCs w:val="24"/>
        </w:rPr>
        <w:t xml:space="preserve"> 1, </w:t>
      </w:r>
      <w:r w:rsidR="006E10E3">
        <w:rPr>
          <w:rFonts w:cs="Arial"/>
          <w:b/>
          <w:bCs/>
          <w:szCs w:val="24"/>
        </w:rPr>
        <w:t>202</w:t>
      </w:r>
      <w:r w:rsidR="00CE51A6">
        <w:rPr>
          <w:rFonts w:cs="Arial"/>
          <w:b/>
          <w:bCs/>
          <w:szCs w:val="24"/>
        </w:rPr>
        <w:t>2</w:t>
      </w:r>
    </w:p>
    <w:p w14:paraId="71687A41" w14:textId="72B6C03C" w:rsidR="009146DC" w:rsidRPr="006158D5" w:rsidRDefault="00D86FDD" w:rsidP="00AA43C8">
      <w:pPr>
        <w:kinsoku w:val="0"/>
        <w:spacing w:after="360"/>
        <w:ind w:left="43"/>
        <w:jc w:val="center"/>
        <w:textAlignment w:val="auto"/>
        <w:rPr>
          <w:rFonts w:cs="Arial"/>
          <w:szCs w:val="24"/>
        </w:rPr>
      </w:pPr>
      <w:proofErr w:type="gramStart"/>
      <w:r>
        <w:rPr>
          <w:rFonts w:cs="Arial"/>
          <w:b/>
          <w:bCs/>
          <w:szCs w:val="24"/>
        </w:rPr>
        <w:t>and</w:t>
      </w:r>
      <w:proofErr w:type="gramEnd"/>
      <w:r w:rsidR="00D278E4">
        <w:rPr>
          <w:rFonts w:cs="Arial"/>
          <w:b/>
          <w:bCs/>
          <w:szCs w:val="24"/>
        </w:rPr>
        <w:t xml:space="preserve"> earlier dates as specified</w:t>
      </w:r>
      <w:r w:rsidR="008E1A86">
        <w:rPr>
          <w:rFonts w:cs="Arial"/>
          <w:b/>
          <w:bCs/>
          <w:szCs w:val="24"/>
        </w:rPr>
        <w:t>)</w:t>
      </w:r>
    </w:p>
    <w:p w14:paraId="5027028D" w14:textId="1CC6BE4F"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2971C5">
        <w:rPr>
          <w:rFonts w:cs="Arial"/>
          <w:szCs w:val="24"/>
        </w:rPr>
        <w:t>2</w:t>
      </w:r>
      <w:r w:rsidR="00637D0D">
        <w:rPr>
          <w:rFonts w:cs="Arial"/>
          <w:szCs w:val="24"/>
        </w:rPr>
        <w:t xml:space="preserve">, Quarter </w:t>
      </w:r>
      <w:r w:rsidR="00337B3F">
        <w:rPr>
          <w:rFonts w:cs="Arial"/>
          <w:szCs w:val="24"/>
        </w:rPr>
        <w:t>Four</w:t>
      </w:r>
      <w:r w:rsidRPr="006158D5">
        <w:rPr>
          <w:rFonts w:cs="Arial"/>
          <w:szCs w:val="24"/>
        </w:rPr>
        <w:t xml:space="preserve">. The update includes fee schedule changes identified in </w:t>
      </w:r>
      <w:hyperlink r:id="rId7" w:history="1">
        <w:r w:rsidR="006E5487" w:rsidRPr="00337B3F">
          <w:rPr>
            <w:rStyle w:val="Hyperlink"/>
            <w:rFonts w:cs="Arial"/>
            <w:szCs w:val="24"/>
          </w:rPr>
          <w:t>CMS Transmittal 1</w:t>
        </w:r>
        <w:r w:rsidR="00B04C76" w:rsidRPr="00337B3F">
          <w:rPr>
            <w:rStyle w:val="Hyperlink"/>
            <w:rFonts w:cs="Arial"/>
            <w:szCs w:val="24"/>
          </w:rPr>
          <w:t>1</w:t>
        </w:r>
        <w:r w:rsidR="00337B3F" w:rsidRPr="00337B3F">
          <w:rPr>
            <w:rStyle w:val="Hyperlink"/>
            <w:rFonts w:cs="Arial"/>
            <w:szCs w:val="24"/>
          </w:rPr>
          <w:t>604</w:t>
        </w:r>
        <w:r w:rsidR="006E5487" w:rsidRPr="00337B3F">
          <w:rPr>
            <w:rStyle w:val="Hyperlink"/>
            <w:rFonts w:cs="Arial"/>
            <w:szCs w:val="24"/>
          </w:rPr>
          <w:t xml:space="preserve">, </w:t>
        </w:r>
        <w:r w:rsidRPr="00337B3F">
          <w:rPr>
            <w:rStyle w:val="Hyperlink"/>
            <w:rFonts w:cs="Arial"/>
            <w:szCs w:val="24"/>
          </w:rPr>
          <w:t xml:space="preserve">Change Request </w:t>
        </w:r>
        <w:r w:rsidRPr="00337B3F">
          <w:rPr>
            <w:rStyle w:val="Hyperlink"/>
            <w:rFonts w:cs="Arial"/>
            <w:szCs w:val="24"/>
            <w:lang w:val="en"/>
          </w:rPr>
          <w:t>CR</w:t>
        </w:r>
        <w:r w:rsidR="00DD7D14" w:rsidRPr="00337B3F">
          <w:rPr>
            <w:rStyle w:val="Hyperlink"/>
            <w:rFonts w:cs="Arial"/>
            <w:szCs w:val="24"/>
          </w:rPr>
          <w:t xml:space="preserve"> 12</w:t>
        </w:r>
        <w:r w:rsidR="00337B3F" w:rsidRPr="00337B3F">
          <w:rPr>
            <w:rStyle w:val="Hyperlink"/>
            <w:rFonts w:cs="Arial"/>
            <w:szCs w:val="24"/>
          </w:rPr>
          <w:t>870</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337B3F">
        <w:rPr>
          <w:rFonts w:cs="Arial"/>
          <w:szCs w:val="24"/>
          <w:lang w:val="en"/>
        </w:rPr>
        <w:t>September 16</w:t>
      </w:r>
      <w:r w:rsidR="00CB562F">
        <w:rPr>
          <w:rFonts w:cs="Arial"/>
          <w:szCs w:val="24"/>
          <w:lang w:val="en"/>
        </w:rPr>
        <w:t>, 202</w:t>
      </w:r>
      <w:r w:rsidR="0053066C">
        <w:rPr>
          <w:rFonts w:cs="Arial"/>
          <w:szCs w:val="24"/>
          <w:lang w:val="en"/>
        </w:rPr>
        <w:t>2</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B04C76">
        <w:rPr>
          <w:rFonts w:cs="Arial"/>
          <w:szCs w:val="24"/>
          <w:lang w:val="en"/>
        </w:rPr>
        <w:t>calendar year</w:t>
      </w:r>
      <w:r w:rsidR="0061480D" w:rsidRPr="00592828">
        <w:rPr>
          <w:rFonts w:cs="Arial"/>
          <w:szCs w:val="24"/>
          <w:lang w:val="en"/>
        </w:rPr>
        <w:t xml:space="preserve"> </w:t>
      </w:r>
      <w:r w:rsidR="001F7B62" w:rsidRPr="00592828">
        <w:rPr>
          <w:rFonts w:cs="Arial"/>
          <w:szCs w:val="24"/>
          <w:lang w:val="en"/>
        </w:rPr>
        <w:t>2</w:t>
      </w:r>
      <w:r w:rsidR="001F7B62">
        <w:rPr>
          <w:rFonts w:cs="Arial"/>
          <w:szCs w:val="24"/>
          <w:lang w:val="en"/>
        </w:rPr>
        <w:t>02</w:t>
      </w:r>
      <w:r w:rsidR="00B04C76">
        <w:rPr>
          <w:rFonts w:cs="Arial"/>
          <w:szCs w:val="24"/>
          <w:lang w:val="en"/>
        </w:rPr>
        <w:t xml:space="preserve">2 Quarter </w:t>
      </w:r>
      <w:r w:rsidR="00337B3F">
        <w:rPr>
          <w:rFonts w:cs="Arial"/>
          <w:szCs w:val="24"/>
          <w:lang w:val="en"/>
        </w:rPr>
        <w:t>Four</w:t>
      </w:r>
      <w:r w:rsidR="0061480D">
        <w:rPr>
          <w:rFonts w:cs="Arial"/>
          <w:szCs w:val="24"/>
          <w:lang w:val="en"/>
        </w:rPr>
        <w:t xml:space="preserve"> </w:t>
      </w:r>
      <w:r w:rsidR="001F7B62">
        <w:rPr>
          <w:rFonts w:cs="Arial"/>
          <w:szCs w:val="24"/>
          <w:lang w:val="en"/>
        </w:rPr>
        <w:t xml:space="preserve">clinical laboratory file, the Administrative Director </w:t>
      </w:r>
      <w:r w:rsidR="001E1BF9">
        <w:rPr>
          <w:rFonts w:cs="Arial"/>
          <w:szCs w:val="24"/>
          <w:lang w:val="en"/>
        </w:rPr>
        <w:t>orders continued use of</w:t>
      </w:r>
      <w:r w:rsidR="001F7B62">
        <w:rPr>
          <w:rFonts w:cs="Arial"/>
          <w:szCs w:val="24"/>
          <w:lang w:val="en"/>
        </w:rPr>
        <w:t xml:space="preserve">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CF1216" w:rsidRDefault="009146DC" w:rsidP="009146DC">
      <w:pPr>
        <w:spacing w:after="120"/>
        <w:ind w:left="-720" w:right="-720"/>
        <w:rPr>
          <w:rFonts w:cs="Arial"/>
          <w:b/>
          <w:szCs w:val="24"/>
        </w:rPr>
      </w:pPr>
      <w:r w:rsidRPr="00CF1216">
        <w:rPr>
          <w:rFonts w:cs="Arial"/>
          <w:szCs w:val="24"/>
          <w:u w:val="single"/>
        </w:rPr>
        <w:t>Medicare Data Source and Incorporation by Reference</w:t>
      </w:r>
    </w:p>
    <w:p w14:paraId="3399076C" w14:textId="6BBDF645" w:rsidR="009146DC" w:rsidRPr="00775E32" w:rsidRDefault="001F7B62" w:rsidP="00560B86">
      <w:pPr>
        <w:spacing w:after="240"/>
        <w:ind w:left="-720" w:right="-720"/>
        <w:rPr>
          <w:rFonts w:cs="Arial"/>
          <w:szCs w:val="24"/>
        </w:rPr>
      </w:pPr>
      <w:r w:rsidRPr="00CF1216">
        <w:rPr>
          <w:rFonts w:cs="Arial"/>
          <w:szCs w:val="24"/>
        </w:rPr>
        <w:t>Except as</w:t>
      </w:r>
      <w:r>
        <w:rPr>
          <w:rFonts w:cs="Arial"/>
          <w:szCs w:val="24"/>
        </w:rPr>
        <w:t xml:space="preserve"> set forth below, e</w:t>
      </w:r>
      <w:r w:rsidR="009146DC" w:rsidRPr="006158D5">
        <w:rPr>
          <w:rFonts w:cs="Arial"/>
          <w:szCs w:val="24"/>
        </w:rPr>
        <w:t xml:space="preserve">ffective for services rendered on or after </w:t>
      </w:r>
      <w:r w:rsidR="00F52AEE">
        <w:rPr>
          <w:rFonts w:cs="Arial"/>
          <w:szCs w:val="24"/>
        </w:rPr>
        <w:t>October</w:t>
      </w:r>
      <w:r w:rsidR="009146DC" w:rsidRPr="006158D5">
        <w:rPr>
          <w:rFonts w:cs="Arial"/>
          <w:szCs w:val="24"/>
        </w:rPr>
        <w:t xml:space="preserve"> 1, </w:t>
      </w:r>
      <w:r w:rsidR="006E10E3">
        <w:rPr>
          <w:rFonts w:cs="Arial"/>
          <w:szCs w:val="24"/>
        </w:rPr>
        <w:t>202</w:t>
      </w:r>
      <w:r w:rsidR="00B04C76">
        <w:rPr>
          <w:rFonts w:cs="Arial"/>
          <w:szCs w:val="24"/>
        </w:rPr>
        <w:t>2</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B04C76">
        <w:rPr>
          <w:rFonts w:cs="Arial"/>
          <w:szCs w:val="24"/>
        </w:rPr>
        <w:t>2</w:t>
      </w:r>
      <w:r w:rsidR="009146DC" w:rsidRPr="006158D5">
        <w:rPr>
          <w:rFonts w:cs="Arial"/>
          <w:szCs w:val="24"/>
        </w:rPr>
        <w:t xml:space="preserve"> Medicare Clinical Laboratory Fee Schedule, contained in the electronic file “</w:t>
      </w:r>
      <w:hyperlink r:id="rId8" w:history="1">
        <w:r w:rsidR="00BB64ED" w:rsidRPr="00F52AEE">
          <w:rPr>
            <w:rStyle w:val="Hyperlink"/>
          </w:rPr>
          <w:t>2</w:t>
        </w:r>
        <w:r w:rsidR="00B04C76" w:rsidRPr="00F52AEE">
          <w:rPr>
            <w:rStyle w:val="Hyperlink"/>
          </w:rPr>
          <w:t>2</w:t>
        </w:r>
        <w:r w:rsidR="00BB64ED" w:rsidRPr="00F52AEE">
          <w:rPr>
            <w:rStyle w:val="Hyperlink"/>
          </w:rPr>
          <w:t>CLABQ</w:t>
        </w:r>
        <w:r w:rsidR="00F52AEE" w:rsidRPr="00F52AEE">
          <w:rPr>
            <w:rStyle w:val="Hyperlink"/>
          </w:rPr>
          <w:t>4</w:t>
        </w:r>
      </w:hyperlink>
      <w:r w:rsidR="009146DC" w:rsidRPr="006158D5">
        <w:rPr>
          <w:rFonts w:cs="Arial"/>
          <w:szCs w:val="24"/>
        </w:rPr>
        <w:t>” which is adopted and incorporated by reference.</w:t>
      </w:r>
    </w:p>
    <w:p w14:paraId="7AB66784" w14:textId="712ABCCB"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3669E9D1" w14:textId="77777777" w:rsidTr="008747AF">
        <w:tc>
          <w:tcPr>
            <w:tcW w:w="4225" w:type="dxa"/>
          </w:tcPr>
          <w:p w14:paraId="2CD1553E" w14:textId="77777777" w:rsidR="004361D9" w:rsidRPr="00B002CC" w:rsidRDefault="004361D9" w:rsidP="004361D9">
            <w:pPr>
              <w:spacing w:before="240" w:after="240"/>
              <w:ind w:right="70"/>
              <w:rPr>
                <w:rFonts w:cs="Arial"/>
                <w:szCs w:val="24"/>
              </w:rPr>
            </w:pPr>
            <w:r w:rsidRPr="00B002CC">
              <w:rPr>
                <w:rFonts w:cs="Arial"/>
                <w:szCs w:val="24"/>
              </w:rPr>
              <w:t>CPT 86408</w:t>
            </w:r>
          </w:p>
          <w:p w14:paraId="4EE2E391" w14:textId="0BF2257D" w:rsidR="00CB4CBA" w:rsidRPr="00B002CC" w:rsidRDefault="00CB4CBA" w:rsidP="004361D9">
            <w:pPr>
              <w:spacing w:before="240" w:after="240"/>
              <w:ind w:right="70"/>
            </w:pPr>
            <w:r w:rsidRPr="00B002CC">
              <w:rPr>
                <w:rFonts w:cs="Arial"/>
                <w:szCs w:val="24"/>
              </w:rPr>
              <w:t xml:space="preserve">Short Descriptor: </w:t>
            </w:r>
            <w:r w:rsidRPr="00B002CC">
              <w:t>NEUTRLZG ANTB SARSCOV2 SCR</w:t>
            </w:r>
          </w:p>
          <w:p w14:paraId="343B8507" w14:textId="5B1EAAA5" w:rsidR="00CB4CBA" w:rsidRPr="00B002CC" w:rsidRDefault="00CB4CBA" w:rsidP="00977D6E">
            <w:pPr>
              <w:spacing w:before="240" w:after="240"/>
              <w:ind w:right="70"/>
              <w:rPr>
                <w:rFonts w:cs="Arial"/>
                <w:szCs w:val="24"/>
                <w:highlight w:val="yellow"/>
              </w:rPr>
            </w:pPr>
            <w:r w:rsidRPr="00B002CC">
              <w:rPr>
                <w:rFonts w:cs="Arial"/>
                <w:szCs w:val="24"/>
              </w:rPr>
              <w:t xml:space="preserve">Long Descriptor: </w:t>
            </w:r>
            <w:r w:rsidRPr="00B002CC">
              <w:t>Neutralizing antibody, severe acute respiratory syndrome coronavirus 2 (SARS-CoV-2) (coronavirus disease [COVID19]); screen</w:t>
            </w:r>
          </w:p>
        </w:tc>
        <w:tc>
          <w:tcPr>
            <w:tcW w:w="2700" w:type="dxa"/>
          </w:tcPr>
          <w:p w14:paraId="6A6B3296" w14:textId="3DA03713" w:rsidR="004361D9" w:rsidRDefault="00B17DC9" w:rsidP="008747AF">
            <w:pPr>
              <w:spacing w:before="240" w:after="240"/>
              <w:ind w:right="-810"/>
              <w:rPr>
                <w:rFonts w:cs="Arial"/>
                <w:szCs w:val="24"/>
              </w:rPr>
            </w:pPr>
            <w:r>
              <w:rPr>
                <w:rFonts w:cs="Arial"/>
                <w:szCs w:val="24"/>
              </w:rPr>
              <w:t>April 1, 2021</w:t>
            </w:r>
          </w:p>
        </w:tc>
        <w:tc>
          <w:tcPr>
            <w:tcW w:w="3060" w:type="dxa"/>
          </w:tcPr>
          <w:p w14:paraId="2D80848D" w14:textId="637D7B9A" w:rsidR="004361D9" w:rsidRPr="00560B86" w:rsidRDefault="00B17DC9" w:rsidP="00C5352C">
            <w:pPr>
              <w:spacing w:before="240" w:after="240"/>
              <w:ind w:right="-810"/>
            </w:pPr>
            <w:r>
              <w:t>$50.56</w:t>
            </w:r>
          </w:p>
        </w:tc>
      </w:tr>
      <w:tr w:rsidR="004361D9" w:rsidRPr="00560B86" w14:paraId="748E9A46" w14:textId="77777777" w:rsidTr="008747AF">
        <w:tc>
          <w:tcPr>
            <w:tcW w:w="4225" w:type="dxa"/>
          </w:tcPr>
          <w:p w14:paraId="43E6B153" w14:textId="77777777" w:rsidR="004361D9" w:rsidRPr="00B002CC" w:rsidRDefault="004361D9" w:rsidP="004361D9">
            <w:pPr>
              <w:spacing w:before="240" w:after="240"/>
              <w:ind w:right="70"/>
              <w:rPr>
                <w:rFonts w:cs="Arial"/>
                <w:szCs w:val="24"/>
              </w:rPr>
            </w:pPr>
            <w:r w:rsidRPr="00B002CC">
              <w:rPr>
                <w:rFonts w:cs="Arial"/>
                <w:szCs w:val="24"/>
              </w:rPr>
              <w:t>CPT 86409</w:t>
            </w:r>
          </w:p>
          <w:p w14:paraId="68B977F0" w14:textId="77777777" w:rsidR="00C90D1F" w:rsidRPr="00B002CC" w:rsidRDefault="00C90D1F" w:rsidP="004361D9">
            <w:pPr>
              <w:spacing w:before="240" w:after="240"/>
              <w:ind w:right="70"/>
            </w:pPr>
            <w:r w:rsidRPr="00B002CC">
              <w:rPr>
                <w:rFonts w:cs="Arial"/>
                <w:szCs w:val="24"/>
              </w:rPr>
              <w:t xml:space="preserve">Short Descriptor: </w:t>
            </w:r>
            <w:r w:rsidRPr="00B002CC">
              <w:t>NEUTRLZG ANTB SARSCOV2 TITER</w:t>
            </w:r>
          </w:p>
          <w:p w14:paraId="468F16E0" w14:textId="751517C1" w:rsidR="00C90D1F" w:rsidRPr="00B002CC" w:rsidRDefault="00C90D1F" w:rsidP="004361D9">
            <w:pPr>
              <w:spacing w:before="240" w:after="240"/>
              <w:ind w:right="70"/>
              <w:rPr>
                <w:rFonts w:cs="Arial"/>
                <w:szCs w:val="24"/>
                <w:highlight w:val="yellow"/>
              </w:rPr>
            </w:pPr>
            <w:r w:rsidRPr="00B002CC">
              <w:rPr>
                <w:rFonts w:cs="Arial"/>
                <w:szCs w:val="24"/>
              </w:rPr>
              <w:t xml:space="preserve">Long Descriptor: </w:t>
            </w:r>
            <w:r w:rsidRPr="00B002CC">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B002CC" w:rsidRDefault="004361D9" w:rsidP="008747AF">
            <w:pPr>
              <w:spacing w:before="240" w:after="240"/>
              <w:ind w:right="70"/>
              <w:rPr>
                <w:rFonts w:cs="Arial"/>
                <w:szCs w:val="24"/>
              </w:rPr>
            </w:pPr>
            <w:r w:rsidRPr="00B002CC">
              <w:rPr>
                <w:rFonts w:cs="Arial"/>
                <w:szCs w:val="24"/>
              </w:rPr>
              <w:t xml:space="preserve">CPT </w:t>
            </w:r>
            <w:r w:rsidR="00C5352C" w:rsidRPr="00B002CC">
              <w:rPr>
                <w:rFonts w:cs="Arial"/>
                <w:szCs w:val="24"/>
              </w:rPr>
              <w:t>86413</w:t>
            </w:r>
          </w:p>
          <w:p w14:paraId="29275242" w14:textId="1B81E3D7" w:rsidR="003A2D48" w:rsidRPr="00B002CC" w:rsidRDefault="003A2D48" w:rsidP="008747AF">
            <w:pPr>
              <w:spacing w:before="240" w:after="240"/>
              <w:ind w:right="70"/>
              <w:rPr>
                <w:rFonts w:cs="Arial"/>
                <w:szCs w:val="24"/>
              </w:rPr>
            </w:pPr>
            <w:r w:rsidRPr="00B002CC">
              <w:rPr>
                <w:rFonts w:cs="Arial"/>
                <w:szCs w:val="24"/>
              </w:rPr>
              <w:t xml:space="preserve">Short Descriptor: </w:t>
            </w:r>
            <w:r w:rsidR="00C5352C" w:rsidRPr="00B002CC">
              <w:t>SARS-COV-2 ANTB QUANTITATIVE</w:t>
            </w:r>
          </w:p>
          <w:p w14:paraId="648B6A5E" w14:textId="5D0FCA3E" w:rsidR="003A2D48" w:rsidRPr="00B002CC" w:rsidRDefault="003A2D48" w:rsidP="008747AF">
            <w:pPr>
              <w:spacing w:before="240" w:after="240"/>
              <w:ind w:right="70"/>
              <w:rPr>
                <w:rFonts w:cs="Arial"/>
                <w:szCs w:val="24"/>
                <w:highlight w:val="yellow"/>
              </w:rPr>
            </w:pPr>
            <w:r w:rsidRPr="00B002CC">
              <w:rPr>
                <w:rFonts w:cs="Arial"/>
                <w:szCs w:val="24"/>
              </w:rPr>
              <w:t xml:space="preserve">Long Descriptor: </w:t>
            </w:r>
            <w:r w:rsidR="00C5352C" w:rsidRPr="00B002C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r w:rsidR="00DD571B" w:rsidRPr="00560B86" w14:paraId="59C5606A" w14:textId="77777777" w:rsidTr="002E73D1">
        <w:tc>
          <w:tcPr>
            <w:tcW w:w="4225" w:type="dxa"/>
            <w:shd w:val="clear" w:color="auto" w:fill="auto"/>
          </w:tcPr>
          <w:p w14:paraId="73A9726A" w14:textId="77777777" w:rsidR="00DD571B" w:rsidRPr="002E73D1" w:rsidRDefault="00DD571B" w:rsidP="008747AF">
            <w:pPr>
              <w:spacing w:before="240" w:after="240"/>
              <w:ind w:right="70"/>
              <w:rPr>
                <w:rFonts w:cs="Arial"/>
                <w:szCs w:val="24"/>
              </w:rPr>
            </w:pPr>
            <w:r w:rsidRPr="002E73D1">
              <w:rPr>
                <w:rFonts w:cs="Arial"/>
                <w:szCs w:val="24"/>
              </w:rPr>
              <w:t>CPT 87426</w:t>
            </w:r>
          </w:p>
          <w:p w14:paraId="1317A845" w14:textId="77777777" w:rsidR="00817522" w:rsidRPr="002E73D1" w:rsidRDefault="00817522" w:rsidP="008747AF">
            <w:pPr>
              <w:spacing w:before="240" w:after="240"/>
              <w:ind w:right="70"/>
            </w:pPr>
            <w:r w:rsidRPr="002E73D1">
              <w:rPr>
                <w:rFonts w:cs="Arial"/>
                <w:szCs w:val="24"/>
              </w:rPr>
              <w:t xml:space="preserve">Short Descriptor: </w:t>
            </w:r>
            <w:r w:rsidRPr="002E73D1">
              <w:t>SARSCOV CORONAVIRUS AG IA</w:t>
            </w:r>
          </w:p>
          <w:p w14:paraId="4CC6B1DE" w14:textId="348CAE9A" w:rsidR="00532757" w:rsidRPr="002E73D1" w:rsidRDefault="00532757" w:rsidP="008747AF">
            <w:pPr>
              <w:spacing w:before="240" w:after="240"/>
              <w:ind w:right="70"/>
              <w:rPr>
                <w:rFonts w:cs="Arial"/>
                <w:szCs w:val="24"/>
              </w:rPr>
            </w:pPr>
            <w:r w:rsidRPr="002E73D1">
              <w:rPr>
                <w:rFonts w:cs="Arial"/>
                <w:szCs w:val="24"/>
              </w:rPr>
              <w:lastRenderedPageBreak/>
              <w:t xml:space="preserve">Long Descriptor: </w:t>
            </w:r>
            <w:r w:rsidRPr="002E73D1">
              <w:t xml:space="preserve">Infectious agent antigen detection by immunoassay technique, (eg, enzyme immunoassay [EIA], enzyme-linked immunosorbent assay [ELISA], fluorescence immunoassay [FIA], </w:t>
            </w:r>
            <w:proofErr w:type="spellStart"/>
            <w:r w:rsidRPr="002E73D1">
              <w:t>immunochemiluminometric</w:t>
            </w:r>
            <w:proofErr w:type="spellEnd"/>
            <w:r w:rsidRPr="002E73D1">
              <w:t xml:space="preserve"> assay [IMCA]) qualitative or semiquantitative; severe acute respiratory syndrome coronavirus (eg, SARS-</w:t>
            </w:r>
            <w:proofErr w:type="spellStart"/>
            <w:r w:rsidRPr="002E73D1">
              <w:t>CoV</w:t>
            </w:r>
            <w:proofErr w:type="spellEnd"/>
            <w:r w:rsidRPr="002E73D1">
              <w:t>, SARS-CoV-2 [COVID-19])</w:t>
            </w:r>
          </w:p>
        </w:tc>
        <w:tc>
          <w:tcPr>
            <w:tcW w:w="2700" w:type="dxa"/>
          </w:tcPr>
          <w:p w14:paraId="7DA267E3" w14:textId="65BD3176" w:rsidR="00DD571B" w:rsidRDefault="00DD571B" w:rsidP="008747AF">
            <w:pPr>
              <w:spacing w:before="240" w:after="240"/>
              <w:ind w:right="-810"/>
              <w:rPr>
                <w:rFonts w:cs="Arial"/>
                <w:szCs w:val="24"/>
              </w:rPr>
            </w:pPr>
            <w:r>
              <w:rPr>
                <w:rFonts w:cs="Arial"/>
                <w:szCs w:val="24"/>
              </w:rPr>
              <w:lastRenderedPageBreak/>
              <w:t>April 1, 2021</w:t>
            </w:r>
          </w:p>
        </w:tc>
        <w:tc>
          <w:tcPr>
            <w:tcW w:w="3060" w:type="dxa"/>
          </w:tcPr>
          <w:p w14:paraId="5A78724A" w14:textId="5FD6FB96" w:rsidR="00DD571B" w:rsidRPr="00560B86" w:rsidRDefault="00532757" w:rsidP="00C5352C">
            <w:pPr>
              <w:spacing w:before="240" w:after="240"/>
              <w:ind w:right="-810"/>
            </w:pPr>
            <w:r>
              <w:t>$42.40</w:t>
            </w:r>
          </w:p>
        </w:tc>
      </w:tr>
      <w:tr w:rsidR="001D7A9A" w:rsidRPr="00560B86" w14:paraId="68F36501" w14:textId="77777777" w:rsidTr="008747AF">
        <w:tc>
          <w:tcPr>
            <w:tcW w:w="4225" w:type="dxa"/>
          </w:tcPr>
          <w:p w14:paraId="082BE144" w14:textId="77777777" w:rsidR="001D7A9A" w:rsidRPr="002E73D1" w:rsidRDefault="001D7A9A" w:rsidP="008747AF">
            <w:pPr>
              <w:spacing w:before="240" w:after="240"/>
              <w:ind w:right="70"/>
              <w:rPr>
                <w:rFonts w:cs="Arial"/>
                <w:szCs w:val="24"/>
              </w:rPr>
            </w:pPr>
            <w:r w:rsidRPr="002E73D1">
              <w:rPr>
                <w:rFonts w:cs="Arial"/>
                <w:szCs w:val="24"/>
              </w:rPr>
              <w:t>CPT 87811</w:t>
            </w:r>
          </w:p>
          <w:p w14:paraId="71B08AE5" w14:textId="77777777" w:rsidR="0053201C" w:rsidRPr="002E73D1" w:rsidRDefault="0053201C" w:rsidP="0053201C">
            <w:pPr>
              <w:spacing w:before="240" w:after="240"/>
              <w:ind w:right="70"/>
            </w:pPr>
            <w:r w:rsidRPr="002E73D1">
              <w:rPr>
                <w:rFonts w:cs="Arial"/>
                <w:szCs w:val="24"/>
              </w:rPr>
              <w:t xml:space="preserve">Short Descriptor: </w:t>
            </w:r>
            <w:r w:rsidRPr="002E73D1">
              <w:t>SARS-COV-2 COVID19 W/OPTIC</w:t>
            </w:r>
          </w:p>
          <w:p w14:paraId="0874C282" w14:textId="37830539" w:rsidR="0053201C" w:rsidRPr="00B002CC" w:rsidRDefault="0053201C" w:rsidP="0053201C">
            <w:pPr>
              <w:spacing w:before="240" w:after="240"/>
              <w:ind w:right="70"/>
              <w:rPr>
                <w:rFonts w:cs="Arial"/>
                <w:szCs w:val="24"/>
                <w:highlight w:val="yellow"/>
              </w:rPr>
            </w:pPr>
            <w:r w:rsidRPr="002E73D1">
              <w:t xml:space="preserve">Long Descriptor: </w:t>
            </w:r>
            <w:r w:rsidR="00F35D73" w:rsidRPr="002E73D1">
              <w:t>Infectious agent antigen detection by immunoassay with direct optical (</w:t>
            </w:r>
            <w:proofErr w:type="spellStart"/>
            <w:r w:rsidR="00F35D73" w:rsidRPr="002E73D1">
              <w:t>ie</w:t>
            </w:r>
            <w:proofErr w:type="spellEnd"/>
            <w:r w:rsidR="00F35D73" w:rsidRPr="002E73D1">
              <w:t>, visual) observation; severe acute respiratory syndrome coronavirus 2 (SARS-CoV-2) (coronavirus disease [COVID-19])</w:t>
            </w:r>
          </w:p>
        </w:tc>
        <w:tc>
          <w:tcPr>
            <w:tcW w:w="2700" w:type="dxa"/>
          </w:tcPr>
          <w:p w14:paraId="0256B31F" w14:textId="3CE32BDB" w:rsidR="001D7A9A" w:rsidRDefault="0053201C" w:rsidP="008747AF">
            <w:pPr>
              <w:spacing w:before="240" w:after="240"/>
              <w:ind w:right="-810"/>
              <w:rPr>
                <w:rFonts w:cs="Arial"/>
                <w:szCs w:val="24"/>
              </w:rPr>
            </w:pPr>
            <w:r>
              <w:rPr>
                <w:rFonts w:cs="Arial"/>
                <w:szCs w:val="24"/>
              </w:rPr>
              <w:t>April 1, 2021</w:t>
            </w:r>
          </w:p>
        </w:tc>
        <w:tc>
          <w:tcPr>
            <w:tcW w:w="3060" w:type="dxa"/>
          </w:tcPr>
          <w:p w14:paraId="53226116" w14:textId="4CE9E6BE" w:rsidR="001D7A9A" w:rsidRDefault="001D7A9A" w:rsidP="00C5352C">
            <w:pPr>
              <w:spacing w:before="240" w:after="240"/>
              <w:ind w:right="-810"/>
            </w:pPr>
            <w:r>
              <w:t>$49.66</w:t>
            </w:r>
          </w:p>
        </w:tc>
      </w:tr>
      <w:tr w:rsidR="00A0517F" w:rsidRPr="00560B86" w14:paraId="14AC7E41" w14:textId="77777777" w:rsidTr="008747AF">
        <w:tc>
          <w:tcPr>
            <w:tcW w:w="4225" w:type="dxa"/>
          </w:tcPr>
          <w:p w14:paraId="549B3242" w14:textId="016A5730" w:rsidR="00A0517F" w:rsidRPr="002E73D1" w:rsidRDefault="00A0517F" w:rsidP="008747AF">
            <w:pPr>
              <w:spacing w:before="240" w:after="240"/>
              <w:ind w:right="70"/>
              <w:rPr>
                <w:rFonts w:cs="Arial"/>
                <w:szCs w:val="24"/>
              </w:rPr>
            </w:pPr>
            <w:r w:rsidRPr="002E73D1">
              <w:rPr>
                <w:rFonts w:cs="Arial"/>
                <w:szCs w:val="24"/>
              </w:rPr>
              <w:t>Code 0224U</w:t>
            </w:r>
          </w:p>
          <w:p w14:paraId="0D4D5D4D" w14:textId="77777777" w:rsidR="002F0789" w:rsidRPr="002E73D1" w:rsidRDefault="002F0789" w:rsidP="008747AF">
            <w:pPr>
              <w:spacing w:before="240" w:after="240"/>
              <w:ind w:right="70"/>
            </w:pPr>
            <w:r w:rsidRPr="002E73D1">
              <w:t xml:space="preserve">COVID-19 Antibody Test, Mt Sinai, Mount Sinai Laboratory </w:t>
            </w:r>
          </w:p>
          <w:p w14:paraId="0F80D78A" w14:textId="24D7C55C" w:rsidR="00AF10EE" w:rsidRPr="002E73D1" w:rsidRDefault="00AF10EE" w:rsidP="002F0789">
            <w:pPr>
              <w:spacing w:before="240" w:after="240"/>
              <w:ind w:right="70"/>
              <w:rPr>
                <w:rFonts w:cs="Arial"/>
                <w:szCs w:val="24"/>
              </w:rPr>
            </w:pPr>
            <w:r w:rsidRPr="002E73D1">
              <w:rPr>
                <w:rFonts w:cs="Arial"/>
                <w:szCs w:val="24"/>
              </w:rPr>
              <w:t xml:space="preserve">Short Descriptor: </w:t>
            </w:r>
            <w:r w:rsidRPr="002E73D1">
              <w:t>ANTIBODY SARS-COV-2 TITER(S)</w:t>
            </w:r>
          </w:p>
          <w:p w14:paraId="6F2C8163" w14:textId="60935716" w:rsidR="002F0789" w:rsidRPr="002E73D1" w:rsidRDefault="00AF10EE" w:rsidP="002F0789">
            <w:pPr>
              <w:spacing w:before="240" w:after="240"/>
              <w:ind w:right="70"/>
              <w:rPr>
                <w:rFonts w:cs="Arial"/>
                <w:szCs w:val="24"/>
              </w:rPr>
            </w:pPr>
            <w:r w:rsidRPr="002E73D1">
              <w:rPr>
                <w:rFonts w:cs="Arial"/>
                <w:szCs w:val="24"/>
              </w:rPr>
              <w:t xml:space="preserve">Long </w:t>
            </w:r>
            <w:r w:rsidR="002F0789" w:rsidRPr="002E73D1">
              <w:rPr>
                <w:rFonts w:cs="Arial"/>
                <w:szCs w:val="24"/>
              </w:rPr>
              <w:t>Descriptor:</w:t>
            </w:r>
          </w:p>
          <w:p w14:paraId="0F832834" w14:textId="3AACA30C" w:rsidR="00A0517F" w:rsidRPr="00B002CC" w:rsidRDefault="002F0789" w:rsidP="008747AF">
            <w:pPr>
              <w:spacing w:before="240" w:after="240"/>
              <w:ind w:right="70"/>
              <w:rPr>
                <w:rFonts w:cs="Arial"/>
                <w:szCs w:val="24"/>
                <w:highlight w:val="yellow"/>
              </w:rPr>
            </w:pPr>
            <w:r w:rsidRPr="002E73D1">
              <w:t xml:space="preserve">Antibody, severe acute respiratory syndrome coronavirus 2 (SARS-CoV-2) (coronavirus disease </w:t>
            </w:r>
            <w:r w:rsidRPr="002E73D1">
              <w:lastRenderedPageBreak/>
              <w:t>[COVID-19]), includes titer(s), when performed</w:t>
            </w:r>
          </w:p>
        </w:tc>
        <w:tc>
          <w:tcPr>
            <w:tcW w:w="2700" w:type="dxa"/>
          </w:tcPr>
          <w:p w14:paraId="35AA19D9" w14:textId="1BFB864E" w:rsidR="00A0517F" w:rsidRDefault="00A0517F" w:rsidP="008747AF">
            <w:pPr>
              <w:spacing w:before="240" w:after="240"/>
              <w:ind w:right="-810"/>
              <w:rPr>
                <w:rFonts w:cs="Arial"/>
                <w:szCs w:val="24"/>
              </w:rPr>
            </w:pPr>
            <w:r>
              <w:rPr>
                <w:rFonts w:cs="Arial"/>
                <w:szCs w:val="24"/>
              </w:rPr>
              <w:lastRenderedPageBreak/>
              <w:t>April 1, 2021</w:t>
            </w:r>
          </w:p>
        </w:tc>
        <w:tc>
          <w:tcPr>
            <w:tcW w:w="3060" w:type="dxa"/>
          </w:tcPr>
          <w:p w14:paraId="59AE7432" w14:textId="4F1695FE" w:rsidR="00A0517F" w:rsidRDefault="00A0517F" w:rsidP="00C5352C">
            <w:pPr>
              <w:spacing w:before="240" w:after="240"/>
              <w:ind w:right="-810"/>
            </w:pPr>
            <w:r>
              <w:t>$50.56</w:t>
            </w:r>
          </w:p>
        </w:tc>
      </w:tr>
      <w:tr w:rsidR="00AF4A59" w:rsidRPr="00560B86" w14:paraId="2F56B71D" w14:textId="77777777" w:rsidTr="008747AF">
        <w:tc>
          <w:tcPr>
            <w:tcW w:w="4225" w:type="dxa"/>
          </w:tcPr>
          <w:p w14:paraId="37583946" w14:textId="5E797FF6" w:rsidR="00AF4A59" w:rsidRPr="002E73D1" w:rsidRDefault="00AF4A59" w:rsidP="00AF4A59">
            <w:pPr>
              <w:spacing w:before="240" w:after="240"/>
              <w:ind w:right="70"/>
              <w:rPr>
                <w:rFonts w:cs="Arial"/>
                <w:szCs w:val="24"/>
              </w:rPr>
            </w:pPr>
            <w:r w:rsidRPr="002E73D1">
              <w:rPr>
                <w:rFonts w:cs="Arial"/>
                <w:szCs w:val="24"/>
              </w:rPr>
              <w:t>Code 0226U</w:t>
            </w:r>
          </w:p>
          <w:p w14:paraId="37B896B6" w14:textId="63A4297F" w:rsidR="00AB090A" w:rsidRPr="002E73D1" w:rsidRDefault="00AB090A" w:rsidP="00AF4A59">
            <w:pPr>
              <w:spacing w:before="240" w:after="240"/>
              <w:ind w:right="70"/>
            </w:pPr>
            <w:proofErr w:type="spellStart"/>
            <w:r w:rsidRPr="002E73D1">
              <w:t>Tru-ImmuneTM</w:t>
            </w:r>
            <w:proofErr w:type="spellEnd"/>
            <w:r w:rsidRPr="002E73D1">
              <w:t>, Ethos L</w:t>
            </w:r>
            <w:r w:rsidR="00E713F8" w:rsidRPr="002E73D1">
              <w:t xml:space="preserve">aboratories, </w:t>
            </w:r>
            <w:proofErr w:type="spellStart"/>
            <w:r w:rsidR="00E713F8" w:rsidRPr="002E73D1">
              <w:t>GenScript</w:t>
            </w:r>
            <w:proofErr w:type="spellEnd"/>
            <w:r w:rsidR="00E713F8" w:rsidRPr="002E73D1">
              <w:t xml:space="preserve">® USA </w:t>
            </w:r>
            <w:proofErr w:type="spellStart"/>
            <w:r w:rsidR="00E713F8" w:rsidRPr="002E73D1">
              <w:t>Inc</w:t>
            </w:r>
            <w:proofErr w:type="spellEnd"/>
          </w:p>
          <w:p w14:paraId="762EF314" w14:textId="450747D8" w:rsidR="00AB090A" w:rsidRPr="002E73D1" w:rsidRDefault="00AB090A" w:rsidP="00AF4A59">
            <w:pPr>
              <w:spacing w:before="240" w:after="240"/>
              <w:ind w:right="70"/>
              <w:rPr>
                <w:rFonts w:cs="Arial"/>
                <w:szCs w:val="24"/>
              </w:rPr>
            </w:pPr>
            <w:r w:rsidRPr="002E73D1">
              <w:t>Short Descriptor: SVNT SARSCOV2 ELISA PLSM SRM</w:t>
            </w:r>
          </w:p>
          <w:p w14:paraId="137DA8E5" w14:textId="0010E8C3" w:rsidR="00AF4A59" w:rsidRPr="00B002CC" w:rsidRDefault="00AB090A" w:rsidP="00FA4878">
            <w:pPr>
              <w:spacing w:before="240" w:after="240"/>
              <w:ind w:right="70"/>
              <w:rPr>
                <w:rFonts w:cs="Arial"/>
                <w:szCs w:val="24"/>
                <w:highlight w:val="yellow"/>
              </w:rPr>
            </w:pPr>
            <w:r w:rsidRPr="002E73D1">
              <w:rPr>
                <w:rFonts w:cs="Arial"/>
                <w:szCs w:val="24"/>
              </w:rPr>
              <w:t xml:space="preserve">Long </w:t>
            </w:r>
            <w:r w:rsidR="00AF4A59" w:rsidRPr="002E73D1">
              <w:rPr>
                <w:rFonts w:cs="Arial"/>
                <w:szCs w:val="24"/>
              </w:rPr>
              <w:t xml:space="preserve">Descriptor: </w:t>
            </w:r>
            <w:r w:rsidR="00E713F8" w:rsidRPr="002E73D1">
              <w:t>Surrogate viral neutralization test (</w:t>
            </w:r>
            <w:proofErr w:type="spellStart"/>
            <w:r w:rsidR="00E713F8" w:rsidRPr="002E73D1">
              <w:t>sVNT</w:t>
            </w:r>
            <w:proofErr w:type="spellEnd"/>
            <w:r w:rsidR="00E713F8" w:rsidRPr="002E73D1">
              <w:t>), severe acute respiratory syndrome coronavirus 2 (SARS-CoV-2) (coronavirus disease [COVID19]), ELISA, plasma, serum</w:t>
            </w:r>
          </w:p>
        </w:tc>
        <w:tc>
          <w:tcPr>
            <w:tcW w:w="2700" w:type="dxa"/>
          </w:tcPr>
          <w:p w14:paraId="56C519B4" w14:textId="7608B1BF" w:rsidR="00AF4A59" w:rsidRDefault="00AF4A59" w:rsidP="008747AF">
            <w:pPr>
              <w:spacing w:before="240" w:after="240"/>
              <w:ind w:right="-810"/>
              <w:rPr>
                <w:rFonts w:cs="Arial"/>
                <w:szCs w:val="24"/>
              </w:rPr>
            </w:pPr>
            <w:r>
              <w:rPr>
                <w:rFonts w:cs="Arial"/>
                <w:szCs w:val="24"/>
              </w:rPr>
              <w:t>April 1, 2021</w:t>
            </w:r>
          </w:p>
        </w:tc>
        <w:tc>
          <w:tcPr>
            <w:tcW w:w="3060" w:type="dxa"/>
          </w:tcPr>
          <w:p w14:paraId="6277F74A" w14:textId="64E420C7" w:rsidR="00AF4A59" w:rsidRDefault="00AF4A59" w:rsidP="00C5352C">
            <w:pPr>
              <w:spacing w:before="240" w:after="240"/>
              <w:ind w:right="-810"/>
            </w:pPr>
            <w:r>
              <w:t>$50.74</w:t>
            </w:r>
          </w:p>
        </w:tc>
      </w:tr>
    </w:tbl>
    <w:p w14:paraId="77860E20" w14:textId="04011163"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2E73D1">
        <w:rPr>
          <w:rFonts w:cs="Arial"/>
          <w:szCs w:val="24"/>
        </w:rPr>
        <w:t>October</w:t>
      </w:r>
      <w:r w:rsidR="000A4C50">
        <w:rPr>
          <w:rFonts w:cs="Arial"/>
          <w:szCs w:val="24"/>
        </w:rPr>
        <w:t xml:space="preserve"> </w:t>
      </w:r>
      <w:r w:rsidRPr="006158D5">
        <w:rPr>
          <w:rFonts w:cs="Arial"/>
          <w:szCs w:val="24"/>
        </w:rPr>
        <w:t xml:space="preserve">1, </w:t>
      </w:r>
      <w:r w:rsidR="006E10E3">
        <w:rPr>
          <w:rFonts w:cs="Arial"/>
          <w:szCs w:val="24"/>
        </w:rPr>
        <w:t>202</w:t>
      </w:r>
      <w:r w:rsidR="005C54BB">
        <w:rPr>
          <w:rFonts w:cs="Arial"/>
          <w:szCs w:val="24"/>
        </w:rPr>
        <w:t>2</w:t>
      </w:r>
      <w:r>
        <w:rPr>
          <w:rFonts w:cs="Arial"/>
          <w:szCs w:val="24"/>
        </w:rPr>
        <w:t>,</w:t>
      </w:r>
      <w:r w:rsidRPr="006158D5">
        <w:rPr>
          <w:rFonts w:cs="Arial"/>
          <w:szCs w:val="24"/>
        </w:rPr>
        <w:t xml:space="preserve"> </w:t>
      </w:r>
      <w:r w:rsidR="00584D74">
        <w:rPr>
          <w:rFonts w:cs="Arial"/>
          <w:szCs w:val="24"/>
        </w:rPr>
        <w:t xml:space="preserve">except for </w:t>
      </w:r>
      <w:r w:rsidR="001E1BF9">
        <w:rPr>
          <w:rFonts w:cs="Arial"/>
          <w:szCs w:val="24"/>
        </w:rPr>
        <w:t xml:space="preserve">the </w:t>
      </w:r>
      <w:r w:rsidR="00584D74">
        <w:rPr>
          <w:rFonts w:cs="Arial"/>
          <w:szCs w:val="24"/>
        </w:rPr>
        <w:t xml:space="preserve">earlier </w:t>
      </w:r>
      <w:r w:rsidR="001E1BF9">
        <w:rPr>
          <w:rFonts w:cs="Arial"/>
          <w:szCs w:val="24"/>
        </w:rPr>
        <w:t xml:space="preserve">April 1, 2021 </w:t>
      </w:r>
      <w:r w:rsidR="00584D74">
        <w:rPr>
          <w:rFonts w:cs="Arial"/>
          <w:szCs w:val="24"/>
        </w:rPr>
        <w:t xml:space="preserve">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2A4B00CC" w:rsidR="009146DC" w:rsidRPr="006158D5" w:rsidRDefault="009146DC" w:rsidP="009146DC">
      <w:pPr>
        <w:ind w:left="-720" w:right="-720"/>
        <w:outlineLvl w:val="0"/>
        <w:rPr>
          <w:rFonts w:cs="Arial"/>
          <w:szCs w:val="24"/>
        </w:rPr>
      </w:pPr>
      <w:r w:rsidRPr="006158D5">
        <w:rPr>
          <w:rFonts w:cs="Arial"/>
          <w:szCs w:val="24"/>
        </w:rPr>
        <w:t xml:space="preserve">Dated: </w:t>
      </w:r>
      <w:r w:rsidR="002E73D1">
        <w:rPr>
          <w:rFonts w:cs="Arial"/>
          <w:szCs w:val="24"/>
        </w:rPr>
        <w:t>September 30</w:t>
      </w:r>
      <w:r w:rsidRPr="006158D5">
        <w:rPr>
          <w:rFonts w:cs="Arial"/>
          <w:szCs w:val="24"/>
        </w:rPr>
        <w:t xml:space="preserve">, </w:t>
      </w:r>
      <w:r w:rsidR="006E10E3">
        <w:rPr>
          <w:rFonts w:cs="Arial"/>
          <w:szCs w:val="24"/>
        </w:rPr>
        <w:t>202</w:t>
      </w:r>
      <w:r w:rsidR="0053066C">
        <w:rPr>
          <w:rFonts w:cs="Arial"/>
          <w:szCs w:val="24"/>
        </w:rPr>
        <w:t>2</w:t>
      </w:r>
      <w:r w:rsidRPr="006158D5">
        <w:rPr>
          <w:rFonts w:cs="Arial"/>
          <w:szCs w:val="24"/>
        </w:rPr>
        <w:tab/>
      </w:r>
      <w:r w:rsidR="00CF1216">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even" r:id="rId10"/>
      <w:headerReference w:type="default" r:id="rId11"/>
      <w:footerReference w:type="even" r:id="rId12"/>
      <w:footerReference w:type="default" r:id="rId13"/>
      <w:headerReference w:type="first" r:id="rId14"/>
      <w:foot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3328" w14:textId="77777777" w:rsidR="008978C2" w:rsidRDefault="0089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0117" w14:textId="77777777" w:rsidR="008978C2" w:rsidRDefault="00897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B23E" w14:textId="77777777" w:rsidR="008978C2" w:rsidRDefault="0089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A6D0" w14:textId="77777777" w:rsidR="008978C2" w:rsidRDefault="0089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40587B70" w:rsidR="003C62B0" w:rsidRDefault="00B002CC" w:rsidP="003C62B0">
    <w:pPr>
      <w:pStyle w:val="Header"/>
      <w:ind w:left="-720"/>
    </w:pPr>
    <w:r>
      <w:t>S</w:t>
    </w:r>
    <w:r w:rsidR="00F52AEE">
      <w:t>eptember</w:t>
    </w:r>
    <w:r w:rsidR="000A4C50">
      <w:t>,</w:t>
    </w:r>
    <w:r w:rsidR="00F52AEE">
      <w:t xml:space="preserve"> </w:t>
    </w:r>
    <w:r>
      <w:t>30</w:t>
    </w:r>
    <w:r w:rsidR="003C62B0">
      <w:t xml:space="preserve"> 202</w:t>
    </w:r>
    <w:r w:rsidR="0053066C">
      <w:t>2</w:t>
    </w:r>
  </w:p>
  <w:p w14:paraId="62EDF178" w14:textId="0190110A"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8978C2">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978C2">
      <w:rPr>
        <w:b/>
        <w:bCs/>
        <w:noProof/>
      </w:rPr>
      <w:t>4</w:t>
    </w:r>
    <w:r>
      <w:rPr>
        <w:b/>
        <w:bCs/>
      </w:rPr>
      <w:fldChar w:fldCharType="end"/>
    </w:r>
    <w:r w:rsidR="000A4C50">
      <w:rPr>
        <w:b/>
        <w:bC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C7AA" w14:textId="77777777" w:rsidR="008978C2" w:rsidRDefault="00897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3801"/>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907C1"/>
    <w:rsid w:val="001B084F"/>
    <w:rsid w:val="001B2EBC"/>
    <w:rsid w:val="001B4800"/>
    <w:rsid w:val="001C483A"/>
    <w:rsid w:val="001D5D02"/>
    <w:rsid w:val="001D7A9A"/>
    <w:rsid w:val="001D7AC9"/>
    <w:rsid w:val="001E1BF9"/>
    <w:rsid w:val="001E648E"/>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303E"/>
    <w:rsid w:val="002D5F8E"/>
    <w:rsid w:val="002D7F8E"/>
    <w:rsid w:val="002E51F6"/>
    <w:rsid w:val="002E6163"/>
    <w:rsid w:val="002E73D1"/>
    <w:rsid w:val="002E793F"/>
    <w:rsid w:val="002F0789"/>
    <w:rsid w:val="002F4DA0"/>
    <w:rsid w:val="002F557A"/>
    <w:rsid w:val="00302279"/>
    <w:rsid w:val="0030240F"/>
    <w:rsid w:val="003109FB"/>
    <w:rsid w:val="0031280E"/>
    <w:rsid w:val="003203D6"/>
    <w:rsid w:val="0032554F"/>
    <w:rsid w:val="0033154C"/>
    <w:rsid w:val="0033542A"/>
    <w:rsid w:val="00335EB0"/>
    <w:rsid w:val="00337B3F"/>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066C"/>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54BB"/>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8257B"/>
    <w:rsid w:val="00890A8A"/>
    <w:rsid w:val="008948D0"/>
    <w:rsid w:val="008978C2"/>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02C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BE1481"/>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B562F"/>
    <w:rsid w:val="00CD2E69"/>
    <w:rsid w:val="00CD618A"/>
    <w:rsid w:val="00CD79A9"/>
    <w:rsid w:val="00CE2560"/>
    <w:rsid w:val="00CE51A6"/>
    <w:rsid w:val="00CF1216"/>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6FDD"/>
    <w:rsid w:val="00D90972"/>
    <w:rsid w:val="00DA3AF5"/>
    <w:rsid w:val="00DB6C44"/>
    <w:rsid w:val="00DC220B"/>
    <w:rsid w:val="00DC2AB1"/>
    <w:rsid w:val="00DC5585"/>
    <w:rsid w:val="00DC6DCA"/>
    <w:rsid w:val="00DD30FF"/>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94B41"/>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2AEE"/>
    <w:rsid w:val="00F539B9"/>
    <w:rsid w:val="00F55CA0"/>
    <w:rsid w:val="00F56865"/>
    <w:rsid w:val="00F70DFA"/>
    <w:rsid w:val="00F76E4C"/>
    <w:rsid w:val="00F85472"/>
    <w:rsid w:val="00F905EB"/>
    <w:rsid w:val="00F93821"/>
    <w:rsid w:val="00F97318"/>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94893ED"/>
  <w15:chartTrackingRefBased/>
  <w15:docId w15:val="{ED1C67D9-5B1D-47EC-B850-D0DD352D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clinicallabfeeschedclinical-laboratory-fee-schedule-files/22clabq4"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cms.gov/files/document/r11604cp.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4466</Characters>
  <Application>Microsoft Office Word</Application>
  <DocSecurity>0</DocSecurity>
  <Lines>37</Lines>
  <Paragraphs>10</Paragraphs>
  <ScaleCrop>false</ScaleCrop>
  <Company/>
  <LinksUpToDate>false</LinksUpToDate>
  <CharactersWithSpaces>5130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Schauer, Jackie@DIR</cp:lastModifiedBy>
  <cp:revision>2</cp:revision>
  <dcterms:created xsi:type="dcterms:W3CDTF">2022-09-30T17:12:00Z</dcterms:created>
  <dcterms:modified xsi:type="dcterms:W3CDTF">2022-09-30T17:12:00Z</dcterms:modified>
</cp:coreProperties>
</file>