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bookmarkStart w:id="0" w:name="_GoBack"/>
      <w:bookmarkEnd w:id="0"/>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10B7A860"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073801">
        <w:rPr>
          <w:rFonts w:cs="Arial"/>
          <w:b/>
          <w:bCs/>
          <w:szCs w:val="24"/>
        </w:rPr>
        <w:t>July</w:t>
      </w:r>
      <w:r w:rsidRPr="009146DC">
        <w:rPr>
          <w:rFonts w:cs="Arial"/>
          <w:b/>
          <w:bCs/>
          <w:szCs w:val="24"/>
        </w:rPr>
        <w:t xml:space="preserve"> 1, </w:t>
      </w:r>
      <w:r w:rsidR="006E10E3">
        <w:rPr>
          <w:rFonts w:cs="Arial"/>
          <w:b/>
          <w:bCs/>
          <w:szCs w:val="24"/>
        </w:rPr>
        <w:t>202</w:t>
      </w:r>
      <w:r w:rsidR="00CE51A6">
        <w:rPr>
          <w:rFonts w:cs="Arial"/>
          <w:b/>
          <w:bCs/>
          <w:szCs w:val="24"/>
        </w:rPr>
        <w:t>2</w:t>
      </w:r>
    </w:p>
    <w:p w14:paraId="71687A41" w14:textId="72B6C03C" w:rsidR="009146DC" w:rsidRPr="006158D5" w:rsidRDefault="00D86FDD" w:rsidP="00AA43C8">
      <w:pPr>
        <w:kinsoku w:val="0"/>
        <w:spacing w:after="360"/>
        <w:ind w:left="43"/>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3BA9C8E3"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2971C5">
        <w:rPr>
          <w:rFonts w:cs="Arial"/>
          <w:szCs w:val="24"/>
        </w:rPr>
        <w:t>2</w:t>
      </w:r>
      <w:r w:rsidR="00637D0D">
        <w:rPr>
          <w:rFonts w:cs="Arial"/>
          <w:szCs w:val="24"/>
        </w:rPr>
        <w:t xml:space="preserve">, Quarter </w:t>
      </w:r>
      <w:r w:rsidR="00073801">
        <w:rPr>
          <w:rFonts w:cs="Arial"/>
          <w:szCs w:val="24"/>
        </w:rPr>
        <w:t>Three</w:t>
      </w:r>
      <w:r w:rsidRPr="006158D5">
        <w:rPr>
          <w:rFonts w:cs="Arial"/>
          <w:szCs w:val="24"/>
        </w:rPr>
        <w:t xml:space="preserve">. The update includes fee schedule changes identified in </w:t>
      </w:r>
      <w:hyperlink r:id="rId7" w:history="1">
        <w:r w:rsidR="006E5487" w:rsidRPr="00073801">
          <w:rPr>
            <w:rStyle w:val="Hyperlink"/>
            <w:rFonts w:cs="Arial"/>
            <w:szCs w:val="24"/>
          </w:rPr>
          <w:t>CMS Transmittal 1</w:t>
        </w:r>
        <w:r w:rsidR="00B04C76" w:rsidRPr="00073801">
          <w:rPr>
            <w:rStyle w:val="Hyperlink"/>
            <w:rFonts w:cs="Arial"/>
            <w:szCs w:val="24"/>
          </w:rPr>
          <w:t>1</w:t>
        </w:r>
        <w:r w:rsidR="00073801" w:rsidRPr="00073801">
          <w:rPr>
            <w:rStyle w:val="Hyperlink"/>
            <w:rFonts w:cs="Arial"/>
            <w:szCs w:val="24"/>
          </w:rPr>
          <w:t>398</w:t>
        </w:r>
        <w:r w:rsidR="006E5487" w:rsidRPr="00073801">
          <w:rPr>
            <w:rStyle w:val="Hyperlink"/>
            <w:rFonts w:cs="Arial"/>
            <w:szCs w:val="24"/>
          </w:rPr>
          <w:t xml:space="preserve">, </w:t>
        </w:r>
        <w:r w:rsidRPr="00073801">
          <w:rPr>
            <w:rStyle w:val="Hyperlink"/>
            <w:rFonts w:cs="Arial"/>
            <w:szCs w:val="24"/>
          </w:rPr>
          <w:t xml:space="preserve">Change Request </w:t>
        </w:r>
        <w:r w:rsidRPr="00073801">
          <w:rPr>
            <w:rStyle w:val="Hyperlink"/>
            <w:rFonts w:cs="Arial"/>
            <w:szCs w:val="24"/>
            <w:lang w:val="en"/>
          </w:rPr>
          <w:t>CR</w:t>
        </w:r>
        <w:r w:rsidR="00DD7D14" w:rsidRPr="00073801">
          <w:rPr>
            <w:rStyle w:val="Hyperlink"/>
            <w:rFonts w:cs="Arial"/>
            <w:szCs w:val="24"/>
          </w:rPr>
          <w:t xml:space="preserve"> 12</w:t>
        </w:r>
        <w:r w:rsidR="00073801" w:rsidRPr="00073801">
          <w:rPr>
            <w:rStyle w:val="Hyperlink"/>
            <w:rFonts w:cs="Arial"/>
            <w:szCs w:val="24"/>
          </w:rPr>
          <w:t>727</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073801">
        <w:rPr>
          <w:rFonts w:cs="Arial"/>
          <w:szCs w:val="24"/>
          <w:lang w:val="en"/>
        </w:rPr>
        <w:t>May 4</w:t>
      </w:r>
      <w:r w:rsidR="00CB562F">
        <w:rPr>
          <w:rFonts w:cs="Arial"/>
          <w:szCs w:val="24"/>
          <w:lang w:val="en"/>
        </w:rPr>
        <w:t>, 202</w:t>
      </w:r>
      <w:r w:rsidR="0053066C">
        <w:rPr>
          <w:rFonts w:cs="Arial"/>
          <w:szCs w:val="24"/>
          <w:lang w:val="en"/>
        </w:rPr>
        <w:t>2</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B04C76">
        <w:rPr>
          <w:rFonts w:cs="Arial"/>
          <w:szCs w:val="24"/>
          <w:lang w:val="en"/>
        </w:rPr>
        <w:t xml:space="preserve">2 Quarter </w:t>
      </w:r>
      <w:r w:rsidR="00073801">
        <w:rPr>
          <w:rFonts w:cs="Arial"/>
          <w:szCs w:val="24"/>
          <w:lang w:val="en"/>
        </w:rPr>
        <w:t>Three</w:t>
      </w:r>
      <w:r w:rsidR="0061480D">
        <w:rPr>
          <w:rFonts w:cs="Arial"/>
          <w:szCs w:val="24"/>
          <w:lang w:val="en"/>
        </w:rPr>
        <w:t xml:space="preserve"> </w:t>
      </w:r>
      <w:r w:rsidR="001F7B62">
        <w:rPr>
          <w:rFonts w:cs="Arial"/>
          <w:szCs w:val="24"/>
          <w:lang w:val="en"/>
        </w:rPr>
        <w:t xml:space="preserve">clinical laboratory file, the Administrative Director </w:t>
      </w:r>
      <w:r w:rsidR="001E1BF9">
        <w:rPr>
          <w:rFonts w:cs="Arial"/>
          <w:szCs w:val="24"/>
          <w:lang w:val="en"/>
        </w:rPr>
        <w:t>orders continued use of</w:t>
      </w:r>
      <w:r w:rsidR="001F7B62">
        <w:rPr>
          <w:rFonts w:cs="Arial"/>
          <w:szCs w:val="24"/>
          <w:lang w:val="en"/>
        </w:rPr>
        <w:t xml:space="preserve">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CF1216" w:rsidRDefault="009146DC" w:rsidP="009146DC">
      <w:pPr>
        <w:spacing w:after="120"/>
        <w:ind w:left="-720" w:right="-720"/>
        <w:rPr>
          <w:rFonts w:cs="Arial"/>
          <w:b/>
          <w:szCs w:val="24"/>
        </w:rPr>
      </w:pPr>
      <w:r w:rsidRPr="00CF1216">
        <w:rPr>
          <w:rFonts w:cs="Arial"/>
          <w:szCs w:val="24"/>
          <w:u w:val="single"/>
        </w:rPr>
        <w:t>Medicare Data Source and Incorporation by Reference</w:t>
      </w:r>
    </w:p>
    <w:p w14:paraId="3399076C" w14:textId="66043132" w:rsidR="009146DC" w:rsidRPr="00775E32" w:rsidRDefault="001F7B62" w:rsidP="00560B86">
      <w:pPr>
        <w:spacing w:after="240"/>
        <w:ind w:left="-720" w:right="-720"/>
        <w:rPr>
          <w:rFonts w:cs="Arial"/>
          <w:szCs w:val="24"/>
        </w:rPr>
      </w:pPr>
      <w:r w:rsidRPr="00CF1216">
        <w:rPr>
          <w:rFonts w:cs="Arial"/>
          <w:szCs w:val="24"/>
        </w:rPr>
        <w:t>Except as</w:t>
      </w:r>
      <w:r>
        <w:rPr>
          <w:rFonts w:cs="Arial"/>
          <w:szCs w:val="24"/>
        </w:rPr>
        <w:t xml:space="preserve"> set forth below, e</w:t>
      </w:r>
      <w:r w:rsidR="009146DC" w:rsidRPr="006158D5">
        <w:rPr>
          <w:rFonts w:cs="Arial"/>
          <w:szCs w:val="24"/>
        </w:rPr>
        <w:t xml:space="preserve">ffective for services rendered on or after </w:t>
      </w:r>
      <w:r w:rsidR="00B04C76">
        <w:rPr>
          <w:rFonts w:cs="Arial"/>
          <w:szCs w:val="24"/>
        </w:rPr>
        <w:t>J</w:t>
      </w:r>
      <w:r w:rsidR="00CF1216">
        <w:rPr>
          <w:rFonts w:cs="Arial"/>
          <w:szCs w:val="24"/>
        </w:rPr>
        <w:t>ul</w:t>
      </w:r>
      <w:r w:rsidR="00B04C76">
        <w:rPr>
          <w:rFonts w:cs="Arial"/>
          <w:szCs w:val="24"/>
        </w:rPr>
        <w:t>y</w:t>
      </w:r>
      <w:r w:rsidR="009146DC" w:rsidRPr="006158D5">
        <w:rPr>
          <w:rFonts w:cs="Arial"/>
          <w:szCs w:val="24"/>
        </w:rPr>
        <w:t xml:space="preserve"> 1, </w:t>
      </w:r>
      <w:r w:rsidR="006E10E3">
        <w:rPr>
          <w:rFonts w:cs="Arial"/>
          <w:szCs w:val="24"/>
        </w:rPr>
        <w:t>202</w:t>
      </w:r>
      <w:r w:rsidR="00B04C76">
        <w:rPr>
          <w:rFonts w:cs="Arial"/>
          <w:szCs w:val="24"/>
        </w:rPr>
        <w:t>2</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B04C76">
        <w:rPr>
          <w:rFonts w:cs="Arial"/>
          <w:szCs w:val="24"/>
        </w:rPr>
        <w:t>2</w:t>
      </w:r>
      <w:r w:rsidR="009146DC" w:rsidRPr="006158D5">
        <w:rPr>
          <w:rFonts w:cs="Arial"/>
          <w:szCs w:val="24"/>
        </w:rPr>
        <w:t xml:space="preserve"> Medicare Clinical Laboratory Fee Schedule, contained in the electronic file “</w:t>
      </w:r>
      <w:hyperlink r:id="rId8" w:history="1">
        <w:r w:rsidR="00BB64ED" w:rsidRPr="00CF1216">
          <w:rPr>
            <w:rStyle w:val="Hyperlink"/>
          </w:rPr>
          <w:t>2</w:t>
        </w:r>
        <w:r w:rsidR="00B04C76" w:rsidRPr="00CF1216">
          <w:rPr>
            <w:rStyle w:val="Hyperlink"/>
          </w:rPr>
          <w:t>2</w:t>
        </w:r>
        <w:r w:rsidR="00BB64ED" w:rsidRPr="00CF1216">
          <w:rPr>
            <w:rStyle w:val="Hyperlink"/>
          </w:rPr>
          <w:t>CLABQ</w:t>
        </w:r>
        <w:r w:rsidR="00CF1216" w:rsidRPr="00CF1216">
          <w:rPr>
            <w:rStyle w:val="Hyperlink"/>
          </w:rPr>
          <w:t>3</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 xml:space="preserve">Infectious agent antigen detection by immunoassay </w:t>
            </w:r>
            <w:r>
              <w:lastRenderedPageBreak/>
              <w:t xml:space="preserve">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lastRenderedPageBreak/>
              <w:t>April 1, 2021</w:t>
            </w:r>
          </w:p>
        </w:tc>
        <w:tc>
          <w:tcPr>
            <w:tcW w:w="3060" w:type="dxa"/>
          </w:tcPr>
          <w:p w14:paraId="5A78724A" w14:textId="5FD6FB96" w:rsidR="00DD571B" w:rsidRPr="00560B86" w:rsidRDefault="00532757" w:rsidP="00C5352C">
            <w:pPr>
              <w:spacing w:before="240" w:after="240"/>
              <w:ind w:right="-810"/>
            </w:pPr>
            <w:r>
              <w:t>$42.40</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w:t>
            </w:r>
            <w:proofErr w:type="spellStart"/>
            <w:r w:rsidR="00F35D73">
              <w:t>ie</w:t>
            </w:r>
            <w:proofErr w:type="spellEnd"/>
            <w:r w:rsidR="00F35D73">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Antibody, severe acute respiratory syndrome coronavirus 2 (SARS-CoV-2) (coronavirus disease [COVID-19]),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lastRenderedPageBreak/>
              <w:t>Code 0226U</w:t>
            </w:r>
          </w:p>
          <w:p w14:paraId="37B896B6" w14:textId="63A4297F" w:rsidR="00AB090A" w:rsidRDefault="00AB090A" w:rsidP="00AF4A59">
            <w:pPr>
              <w:spacing w:before="240" w:after="240"/>
              <w:ind w:right="70"/>
            </w:pPr>
            <w:proofErr w:type="spellStart"/>
            <w:r>
              <w:t>Tru-ImmuneTM</w:t>
            </w:r>
            <w:proofErr w:type="spellEnd"/>
            <w:r>
              <w:t>, Ethos L</w:t>
            </w:r>
            <w:r w:rsidR="00E713F8">
              <w:t xml:space="preserve">aboratories, </w:t>
            </w:r>
            <w:proofErr w:type="spellStart"/>
            <w:r w:rsidR="00E713F8">
              <w:t>GenScript</w:t>
            </w:r>
            <w:proofErr w:type="spellEnd"/>
            <w:r w:rsidR="00E713F8">
              <w:t xml:space="preserve">® USA </w:t>
            </w:r>
            <w:proofErr w:type="spellStart"/>
            <w:r w:rsidR="00E713F8">
              <w:t>Inc</w:t>
            </w:r>
            <w:proofErr w:type="spellEnd"/>
          </w:p>
          <w:p w14:paraId="762EF314" w14:textId="450747D8" w:rsidR="00AB090A" w:rsidRDefault="00AB090A" w:rsidP="00AF4A59">
            <w:pPr>
              <w:spacing w:before="240" w:after="240"/>
              <w:ind w:right="70"/>
              <w:rPr>
                <w:rFonts w:cs="Arial"/>
                <w:szCs w:val="24"/>
              </w:rPr>
            </w:pPr>
            <w:r>
              <w:t>Short Descriptor: 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 xml:space="preserve">Descriptor: </w:t>
            </w:r>
            <w:r w:rsidR="00E713F8">
              <w:t>Surrogate viral neutralization test (</w:t>
            </w:r>
            <w:proofErr w:type="spellStart"/>
            <w:r w:rsidR="00E713F8">
              <w:t>sVNT</w:t>
            </w:r>
            <w:proofErr w:type="spellEnd"/>
            <w:r w:rsidR="00E713F8">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bl>
    <w:p w14:paraId="77860E20" w14:textId="67841E18"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CF1216">
        <w:rPr>
          <w:rFonts w:cs="Arial"/>
          <w:szCs w:val="24"/>
        </w:rPr>
        <w:t>July</w:t>
      </w:r>
      <w:r w:rsidR="000A4C50">
        <w:rPr>
          <w:rFonts w:cs="Arial"/>
          <w:szCs w:val="24"/>
        </w:rPr>
        <w:t xml:space="preserve"> </w:t>
      </w:r>
      <w:r w:rsidRPr="006158D5">
        <w:rPr>
          <w:rFonts w:cs="Arial"/>
          <w:szCs w:val="24"/>
        </w:rPr>
        <w:t xml:space="preserve">1, </w:t>
      </w:r>
      <w:r w:rsidR="006E10E3">
        <w:rPr>
          <w:rFonts w:cs="Arial"/>
          <w:szCs w:val="24"/>
        </w:rPr>
        <w:t>202</w:t>
      </w:r>
      <w:r w:rsidR="005C54BB">
        <w:rPr>
          <w:rFonts w:cs="Arial"/>
          <w:szCs w:val="24"/>
        </w:rPr>
        <w:t>2</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41C10B15" w:rsidR="009146DC" w:rsidRPr="006158D5" w:rsidRDefault="009146DC" w:rsidP="009146DC">
      <w:pPr>
        <w:ind w:left="-720" w:right="-720"/>
        <w:outlineLvl w:val="0"/>
        <w:rPr>
          <w:rFonts w:cs="Arial"/>
          <w:szCs w:val="24"/>
        </w:rPr>
      </w:pPr>
      <w:r w:rsidRPr="006158D5">
        <w:rPr>
          <w:rFonts w:cs="Arial"/>
          <w:szCs w:val="24"/>
        </w:rPr>
        <w:t xml:space="preserve">Dated: </w:t>
      </w:r>
      <w:r w:rsidR="00CF1216">
        <w:rPr>
          <w:rFonts w:cs="Arial"/>
          <w:szCs w:val="24"/>
        </w:rPr>
        <w:t>June 27</w:t>
      </w:r>
      <w:r w:rsidRPr="006158D5">
        <w:rPr>
          <w:rFonts w:cs="Arial"/>
          <w:szCs w:val="24"/>
        </w:rPr>
        <w:t xml:space="preserve">, </w:t>
      </w:r>
      <w:r w:rsidR="006E10E3">
        <w:rPr>
          <w:rFonts w:cs="Arial"/>
          <w:szCs w:val="24"/>
        </w:rPr>
        <w:t>202</w:t>
      </w:r>
      <w:r w:rsidR="0053066C">
        <w:rPr>
          <w:rFonts w:cs="Arial"/>
          <w:szCs w:val="24"/>
        </w:rPr>
        <w:t>2</w:t>
      </w:r>
      <w:r w:rsidR="00756E25">
        <w:rPr>
          <w:rFonts w:cs="Arial"/>
          <w:szCs w:val="24"/>
        </w:rPr>
        <w:tab/>
      </w:r>
      <w:r w:rsidRPr="006158D5">
        <w:rPr>
          <w:rFonts w:cs="Arial"/>
          <w:szCs w:val="24"/>
        </w:rPr>
        <w:tab/>
      </w:r>
      <w:r w:rsidR="00CF121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626FC8E3" w:rsidR="003C62B0" w:rsidRDefault="00CF1216" w:rsidP="003C62B0">
    <w:pPr>
      <w:pStyle w:val="Header"/>
      <w:ind w:left="-720"/>
    </w:pPr>
    <w:r>
      <w:t>June 27</w:t>
    </w:r>
    <w:r w:rsidR="000A4C50">
      <w:t>,</w:t>
    </w:r>
    <w:r w:rsidR="003C62B0">
      <w:t xml:space="preserve"> 202</w:t>
    </w:r>
    <w:r w:rsidR="0053066C">
      <w:t>2</w:t>
    </w:r>
  </w:p>
  <w:p w14:paraId="62EDF178" w14:textId="488C927F"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BE1481">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E1481">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3801"/>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BE1481"/>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21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94893ED"/>
  <w15:chartTrackingRefBased/>
  <w15:docId w15:val="{ED1C67D9-5B1D-47EC-B850-D0DD352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2CLABQ3.zip" TargetMode="External"/><Relationship Id="rId3" Type="http://schemas.openxmlformats.org/officeDocument/2006/relationships/webSettings" Target="webSettings.xml"/><Relationship Id="rId7" Type="http://schemas.openxmlformats.org/officeDocument/2006/relationships/hyperlink" Target="https://www.cms.gov/files/document/r11398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Clinical Laboratory Order 2022 Quarter Two Update</vt:lpstr>
    </vt:vector>
  </TitlesOfParts>
  <Company/>
  <LinksUpToDate>false</LinksUpToDate>
  <CharactersWithSpaces>5058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2022 Quarter Three Update</dc:title>
  <dc:subject/>
  <dc:creator>Division of Workers’ Compensation</dc:creator>
  <cp:keywords/>
  <cp:lastModifiedBy>Schauer, Jackie@DIR</cp:lastModifiedBy>
  <cp:revision>2</cp:revision>
  <dcterms:created xsi:type="dcterms:W3CDTF">2020-12-30T22:54:00Z</dcterms:created>
  <dcterms:modified xsi:type="dcterms:W3CDTF">2022-06-27T22:50:00Z</dcterms:modified>
</cp:coreProperties>
</file>