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F09" w:rsidRDefault="00522F09" w:rsidP="00522F09">
      <w:pPr>
        <w:spacing w:after="480"/>
        <w:ind w:right="-187"/>
        <w:contextualSpacing/>
      </w:pPr>
      <w:bookmarkStart w:id="0" w:name="_GoBack"/>
      <w:bookmarkEnd w:id="0"/>
      <w:r>
        <w:t>Attachment to Administrative Director Order dated 12/28/2020</w:t>
      </w:r>
    </w:p>
    <w:p w:rsidR="00522F09" w:rsidRDefault="00522F09" w:rsidP="00522F09">
      <w:pPr>
        <w:spacing w:after="480"/>
        <w:ind w:right="-187"/>
        <w:contextualSpacing/>
      </w:pPr>
      <w:r>
        <w:t xml:space="preserve">Excerpt of </w:t>
      </w:r>
      <w:hyperlink r:id="rId7" w:history="1">
        <w:r w:rsidRPr="00A00FF5">
          <w:rPr>
            <w:rStyle w:val="Hyperlink"/>
          </w:rPr>
          <w:t>Centers for Medicare and Medicaid Services Ambulance Fee Schedule Pubic Use Files web page</w:t>
        </w:r>
      </w:hyperlink>
      <w:r>
        <w:t xml:space="preserve"> (accessed 12/23/2020)</w:t>
      </w:r>
    </w:p>
    <w:p w:rsidR="00522F09" w:rsidRPr="00A00FF5" w:rsidRDefault="00522F09" w:rsidP="00522F09">
      <w:pPr>
        <w:shd w:val="clear" w:color="auto" w:fill="FFFFFF"/>
        <w:spacing w:before="600" w:after="120" w:line="240" w:lineRule="atLeast"/>
        <w:outlineLvl w:val="0"/>
        <w:rPr>
          <w:rFonts w:ascii="Arial" w:eastAsia="Times New Roman" w:hAnsi="Arial" w:cs="Arial"/>
          <w:b/>
          <w:bCs/>
          <w:color w:val="000000"/>
          <w:kern w:val="36"/>
          <w:sz w:val="38"/>
          <w:szCs w:val="38"/>
        </w:rPr>
      </w:pPr>
      <w:r w:rsidRPr="00A00FF5">
        <w:rPr>
          <w:rFonts w:ascii="Arial" w:eastAsia="Times New Roman" w:hAnsi="Arial" w:cs="Arial"/>
          <w:b/>
          <w:bCs/>
          <w:color w:val="000000"/>
          <w:kern w:val="36"/>
          <w:sz w:val="38"/>
          <w:szCs w:val="38"/>
        </w:rPr>
        <w:t>Ambulance Fee Schedule Public Use Files</w:t>
      </w:r>
    </w:p>
    <w:p w:rsidR="00522F09" w:rsidRPr="00A00FF5" w:rsidRDefault="00522F09" w:rsidP="00522F09">
      <w:pPr>
        <w:shd w:val="clear" w:color="auto" w:fill="FFFFFF"/>
        <w:spacing w:after="288" w:line="240" w:lineRule="auto"/>
        <w:rPr>
          <w:rFonts w:ascii="Arial" w:eastAsia="Times New Roman" w:hAnsi="Arial" w:cs="Arial"/>
          <w:sz w:val="24"/>
          <w:szCs w:val="24"/>
        </w:rPr>
      </w:pPr>
      <w:r w:rsidRPr="00A00FF5">
        <w:rPr>
          <w:rFonts w:ascii="Arial" w:eastAsia="Times New Roman" w:hAnsi="Arial" w:cs="Arial"/>
          <w:b/>
          <w:bCs/>
          <w:color w:val="000000"/>
          <w:sz w:val="24"/>
          <w:szCs w:val="24"/>
        </w:rPr>
        <w:t>CY 2004 – CY 2020:</w:t>
      </w:r>
    </w:p>
    <w:p w:rsidR="00522F09" w:rsidRPr="00A00FF5" w:rsidRDefault="00522F09" w:rsidP="00522F09">
      <w:pPr>
        <w:shd w:val="clear" w:color="auto" w:fill="FFFFFF"/>
        <w:spacing w:after="288" w:line="240" w:lineRule="auto"/>
        <w:rPr>
          <w:rFonts w:ascii="Arial" w:eastAsia="Times New Roman" w:hAnsi="Arial" w:cs="Arial"/>
          <w:color w:val="000000"/>
          <w:sz w:val="24"/>
          <w:szCs w:val="24"/>
        </w:rPr>
      </w:pPr>
      <w:r w:rsidRPr="00A00FF5">
        <w:rPr>
          <w:rFonts w:ascii="Arial" w:eastAsia="Times New Roman" w:hAnsi="Arial" w:cs="Arial"/>
          <w:color w:val="000000"/>
          <w:sz w:val="24"/>
          <w:szCs w:val="24"/>
        </w:rPr>
        <w:t>The AFS public use files for calendar years 2004 through December 31, 2020 are located in the Downloads section below.</w:t>
      </w:r>
    </w:p>
    <w:p w:rsidR="00522F09" w:rsidRPr="00A00FF5" w:rsidRDefault="00522F09" w:rsidP="00522F09">
      <w:pPr>
        <w:shd w:val="clear" w:color="auto" w:fill="FFFFFF"/>
        <w:spacing w:after="288" w:line="240" w:lineRule="auto"/>
        <w:rPr>
          <w:rFonts w:ascii="Arial" w:eastAsia="Times New Roman" w:hAnsi="Arial" w:cs="Arial"/>
          <w:color w:val="000000"/>
          <w:sz w:val="24"/>
          <w:szCs w:val="24"/>
        </w:rPr>
      </w:pPr>
      <w:r w:rsidRPr="00A00FF5">
        <w:rPr>
          <w:rFonts w:ascii="Arial" w:eastAsia="Times New Roman" w:hAnsi="Arial" w:cs="Arial"/>
          <w:color w:val="000000"/>
          <w:sz w:val="24"/>
          <w:szCs w:val="24"/>
        </w:rPr>
        <w:t>Please note: Beginning with calendar year 2017, the Centers for Medicare &amp; Medicaid Services (CMS) will no longer be creating and publishing, as in previous years, an AFS Public Use File (PUF) “package” containing, along with the fee schedule, an index, background information, and the raw data file. Instead, CMS will provide and post to this website only a sample data file in an Excel “.</w:t>
      </w:r>
      <w:proofErr w:type="spellStart"/>
      <w:r w:rsidRPr="00A00FF5">
        <w:rPr>
          <w:rFonts w:ascii="Arial" w:eastAsia="Times New Roman" w:hAnsi="Arial" w:cs="Arial"/>
          <w:color w:val="000000"/>
          <w:sz w:val="24"/>
          <w:szCs w:val="24"/>
        </w:rPr>
        <w:t>xls</w:t>
      </w:r>
      <w:proofErr w:type="spellEnd"/>
      <w:r w:rsidRPr="00A00FF5">
        <w:rPr>
          <w:rFonts w:ascii="Arial" w:eastAsia="Times New Roman" w:hAnsi="Arial" w:cs="Arial"/>
          <w:color w:val="000000"/>
          <w:sz w:val="24"/>
          <w:szCs w:val="24"/>
        </w:rPr>
        <w:t xml:space="preserve">” file format. The file can be downloaded and used to calculate the appropriate Medicare Part B payment rates for Medicare covered ground </w:t>
      </w:r>
      <w:proofErr w:type="gramStart"/>
      <w:r w:rsidRPr="00A00FF5">
        <w:rPr>
          <w:rFonts w:ascii="Arial" w:eastAsia="Times New Roman" w:hAnsi="Arial" w:cs="Arial"/>
          <w:color w:val="000000"/>
          <w:sz w:val="24"/>
          <w:szCs w:val="24"/>
        </w:rPr>
        <w:t>and</w:t>
      </w:r>
      <w:r>
        <w:rPr>
          <w:rFonts w:ascii="Arial" w:eastAsia="Times New Roman" w:hAnsi="Arial" w:cs="Arial"/>
          <w:color w:val="000000"/>
          <w:sz w:val="24"/>
          <w:szCs w:val="24"/>
        </w:rPr>
        <w:t xml:space="preserve"> </w:t>
      </w:r>
      <w:r w:rsidRPr="00A00FF5">
        <w:rPr>
          <w:rFonts w:ascii="Arial" w:eastAsia="Times New Roman" w:hAnsi="Arial" w:cs="Arial"/>
          <w:color w:val="000000"/>
          <w:sz w:val="24"/>
          <w:szCs w:val="24"/>
        </w:rPr>
        <w:t xml:space="preserve"> air</w:t>
      </w:r>
      <w:proofErr w:type="gramEnd"/>
      <w:r w:rsidRPr="00A00FF5">
        <w:rPr>
          <w:rFonts w:ascii="Arial" w:eastAsia="Times New Roman" w:hAnsi="Arial" w:cs="Arial"/>
          <w:color w:val="000000"/>
          <w:sz w:val="24"/>
          <w:szCs w:val="24"/>
        </w:rPr>
        <w:t xml:space="preserve"> ambulance transportation services.</w:t>
      </w:r>
    </w:p>
    <w:p w:rsidR="00522F09" w:rsidRPr="00A00FF5" w:rsidRDefault="00522F09" w:rsidP="00522F09">
      <w:pPr>
        <w:shd w:val="clear" w:color="auto" w:fill="FFFFFF"/>
        <w:spacing w:after="288" w:line="240" w:lineRule="auto"/>
        <w:rPr>
          <w:rFonts w:ascii="Arial" w:eastAsia="Times New Roman" w:hAnsi="Arial" w:cs="Arial"/>
          <w:color w:val="000000"/>
          <w:sz w:val="24"/>
          <w:szCs w:val="24"/>
        </w:rPr>
      </w:pPr>
      <w:r w:rsidRPr="00A00FF5">
        <w:rPr>
          <w:rFonts w:ascii="Arial" w:eastAsia="Times New Roman" w:hAnsi="Arial" w:cs="Arial"/>
          <w:b/>
          <w:bCs/>
          <w:color w:val="000000"/>
          <w:sz w:val="24"/>
          <w:szCs w:val="24"/>
        </w:rPr>
        <w:t>CY 2021:</w:t>
      </w:r>
    </w:p>
    <w:p w:rsidR="00522F09" w:rsidRPr="00A00FF5" w:rsidRDefault="00522F09" w:rsidP="00522F09">
      <w:pPr>
        <w:shd w:val="clear" w:color="auto" w:fill="FFFFFF"/>
        <w:spacing w:after="288" w:line="240" w:lineRule="auto"/>
        <w:rPr>
          <w:rFonts w:ascii="Arial" w:eastAsia="Times New Roman" w:hAnsi="Arial" w:cs="Arial"/>
          <w:color w:val="000000"/>
          <w:sz w:val="24"/>
          <w:szCs w:val="24"/>
        </w:rPr>
      </w:pPr>
      <w:r w:rsidRPr="00A00FF5">
        <w:rPr>
          <w:rFonts w:ascii="Arial" w:eastAsia="Times New Roman" w:hAnsi="Arial" w:cs="Arial"/>
          <w:color w:val="000000"/>
          <w:sz w:val="24"/>
          <w:szCs w:val="24"/>
        </w:rPr>
        <w:t>The Bipartisan Budget Act (BBA) of 2018 includes three major Medicare ambulance services provisions pertaining to the extensions of certain ground ambulance temporary add-on payments, development of a data collection system for ground ambulance providers and suppliers, and payment reduction for non-emergency ESRD ambulance transports.</w:t>
      </w:r>
    </w:p>
    <w:p w:rsidR="00522F09" w:rsidRPr="00A00FF5" w:rsidRDefault="00522F09" w:rsidP="00522F09">
      <w:pPr>
        <w:shd w:val="clear" w:color="auto" w:fill="FFFFFF"/>
        <w:spacing w:after="288" w:line="240" w:lineRule="auto"/>
        <w:rPr>
          <w:rFonts w:ascii="Arial" w:eastAsia="Times New Roman" w:hAnsi="Arial" w:cs="Arial"/>
          <w:color w:val="000000"/>
          <w:sz w:val="24"/>
          <w:szCs w:val="24"/>
        </w:rPr>
      </w:pPr>
      <w:r w:rsidRPr="00A00FF5">
        <w:rPr>
          <w:rFonts w:ascii="Arial" w:eastAsia="Times New Roman" w:hAnsi="Arial" w:cs="Arial"/>
          <w:color w:val="000000"/>
          <w:sz w:val="24"/>
          <w:szCs w:val="24"/>
        </w:rPr>
        <w:t>A copy of the BBA of 2018, summaries of these provisions, and information on the new Medicare Ground Ambulance Data Collection System are available at:</w:t>
      </w:r>
    </w:p>
    <w:p w:rsidR="00522F09" w:rsidRPr="00A00FF5" w:rsidRDefault="009663CD" w:rsidP="00522F09">
      <w:pPr>
        <w:shd w:val="clear" w:color="auto" w:fill="FFFFFF"/>
        <w:spacing w:after="288" w:line="240" w:lineRule="auto"/>
        <w:rPr>
          <w:rFonts w:ascii="Arial" w:eastAsia="Times New Roman" w:hAnsi="Arial" w:cs="Arial"/>
          <w:color w:val="000000"/>
          <w:sz w:val="24"/>
          <w:szCs w:val="24"/>
        </w:rPr>
      </w:pPr>
      <w:hyperlink r:id="rId8" w:history="1">
        <w:r w:rsidR="00522F09" w:rsidRPr="00A00FF5">
          <w:rPr>
            <w:rFonts w:ascii="Arial" w:eastAsia="Times New Roman" w:hAnsi="Arial" w:cs="Arial"/>
            <w:color w:val="884488"/>
            <w:sz w:val="24"/>
            <w:szCs w:val="24"/>
            <w:u w:val="single"/>
            <w:bdr w:val="none" w:sz="0" w:space="0" w:color="auto" w:frame="1"/>
          </w:rPr>
          <w:t>https://www.cms.gov/Center/Provider-Type/Ambulances-Services-Center.html</w:t>
        </w:r>
      </w:hyperlink>
      <w:r w:rsidR="00522F09" w:rsidRPr="00A00FF5">
        <w:rPr>
          <w:rFonts w:ascii="Arial" w:eastAsia="Times New Roman" w:hAnsi="Arial" w:cs="Arial"/>
          <w:color w:val="000000"/>
          <w:sz w:val="24"/>
          <w:szCs w:val="24"/>
        </w:rPr>
        <w:t>.</w:t>
      </w:r>
    </w:p>
    <w:p w:rsidR="00522F09" w:rsidRPr="00A00FF5" w:rsidRDefault="00522F09" w:rsidP="00522F09">
      <w:pPr>
        <w:shd w:val="clear" w:color="auto" w:fill="FFFFFF"/>
        <w:spacing w:after="288" w:line="240" w:lineRule="auto"/>
        <w:rPr>
          <w:rFonts w:ascii="Arial" w:eastAsia="Times New Roman" w:hAnsi="Arial" w:cs="Arial"/>
          <w:color w:val="000000"/>
          <w:sz w:val="24"/>
          <w:szCs w:val="24"/>
        </w:rPr>
      </w:pPr>
      <w:r w:rsidRPr="00A00FF5">
        <w:rPr>
          <w:rFonts w:ascii="Arial" w:eastAsia="Times New Roman" w:hAnsi="Arial" w:cs="Arial"/>
          <w:color w:val="000000"/>
          <w:sz w:val="24"/>
          <w:szCs w:val="24"/>
        </w:rPr>
        <w:t>Temporary Add-on Payments:</w:t>
      </w:r>
    </w:p>
    <w:p w:rsidR="00522F09" w:rsidRPr="00A00FF5" w:rsidRDefault="00522F09" w:rsidP="00522F09">
      <w:pPr>
        <w:shd w:val="clear" w:color="auto" w:fill="FFFFFF"/>
        <w:spacing w:after="288" w:line="240" w:lineRule="auto"/>
        <w:rPr>
          <w:rFonts w:ascii="Arial" w:eastAsia="Times New Roman" w:hAnsi="Arial" w:cs="Arial"/>
          <w:color w:val="000000"/>
          <w:sz w:val="24"/>
          <w:szCs w:val="24"/>
        </w:rPr>
      </w:pPr>
      <w:r w:rsidRPr="00A00FF5">
        <w:rPr>
          <w:rFonts w:ascii="Arial" w:eastAsia="Times New Roman" w:hAnsi="Arial" w:cs="Arial"/>
          <w:color w:val="000000"/>
          <w:sz w:val="24"/>
          <w:szCs w:val="24"/>
        </w:rPr>
        <w:t>Section 50203 (a) of the BBA of 2018 extended payment provisions of previous legislation including the Medicare and CHIP Reauthorization Act (MACRA) of 2015, Protecting Access to Medicare Act of 2014, the Pathway for SGR Reform Act of 2013, the American Taxpayer Relief Act of 2012, the Middle Class Tax Relief and Job Creation Act of 2012, the Temporary Payroll Tax Cut Continuation Act of 2011, the Medicare and Medicaid Extenders Act of 2010, the Patient Protections and Affordable Care Act of 2010 (ACA), and the Medicare Improvements for Patients and Providers Act of 2008 (MIPPA).</w:t>
      </w:r>
    </w:p>
    <w:p w:rsidR="00522F09" w:rsidRPr="00A00FF5" w:rsidRDefault="00522F09" w:rsidP="00522F09">
      <w:pPr>
        <w:shd w:val="clear" w:color="auto" w:fill="FFFFFF"/>
        <w:spacing w:after="288" w:line="240" w:lineRule="auto"/>
        <w:rPr>
          <w:rFonts w:ascii="Arial" w:eastAsia="Times New Roman" w:hAnsi="Arial" w:cs="Arial"/>
          <w:color w:val="000000"/>
          <w:sz w:val="24"/>
          <w:szCs w:val="24"/>
        </w:rPr>
      </w:pPr>
      <w:r w:rsidRPr="00A00FF5">
        <w:rPr>
          <w:rFonts w:ascii="Arial" w:eastAsia="Times New Roman" w:hAnsi="Arial" w:cs="Arial"/>
          <w:color w:val="000000"/>
          <w:sz w:val="24"/>
          <w:szCs w:val="24"/>
        </w:rPr>
        <w:t>Section 50203(a</w:t>
      </w:r>
      <w:proofErr w:type="gramStart"/>
      <w:r w:rsidRPr="00A00FF5">
        <w:rPr>
          <w:rFonts w:ascii="Arial" w:eastAsia="Times New Roman" w:hAnsi="Arial" w:cs="Arial"/>
          <w:color w:val="000000"/>
          <w:sz w:val="24"/>
          <w:szCs w:val="24"/>
        </w:rPr>
        <w:t>)(</w:t>
      </w:r>
      <w:proofErr w:type="gramEnd"/>
      <w:r w:rsidRPr="00A00FF5">
        <w:rPr>
          <w:rFonts w:ascii="Arial" w:eastAsia="Times New Roman" w:hAnsi="Arial" w:cs="Arial"/>
          <w:color w:val="000000"/>
          <w:sz w:val="24"/>
          <w:szCs w:val="24"/>
        </w:rPr>
        <w:t xml:space="preserve">1) of the BBA of 2018 includes an extension of the temporary add-on payments under section 1834 (l)(13)(A) of the Social Security Act (the Act) that were set to expire December 31, 2017.  They are extended through December 31, 2022. The temporary add-on payments include: 3 percent increase in the base and mileage rate for ground ambulance services that originate in rural areas (as defined by the ZIP code </w:t>
      </w:r>
      <w:r w:rsidRPr="00A00FF5">
        <w:rPr>
          <w:rFonts w:ascii="Arial" w:eastAsia="Times New Roman" w:hAnsi="Arial" w:cs="Arial"/>
          <w:color w:val="000000"/>
          <w:sz w:val="24"/>
          <w:szCs w:val="24"/>
        </w:rPr>
        <w:lastRenderedPageBreak/>
        <w:t>of the point of pickup) and a 2 percent increase in the base and mileage rate for ground ambulance services that originate in urban areas (as defined by the ZIP code of the point of pickup).</w:t>
      </w:r>
    </w:p>
    <w:p w:rsidR="00522F09" w:rsidRPr="00A00FF5" w:rsidRDefault="00522F09" w:rsidP="00522F09">
      <w:pPr>
        <w:shd w:val="clear" w:color="auto" w:fill="FFFFFF"/>
        <w:spacing w:after="288" w:line="240" w:lineRule="auto"/>
        <w:rPr>
          <w:rFonts w:ascii="Arial" w:eastAsia="Times New Roman" w:hAnsi="Arial" w:cs="Arial"/>
          <w:color w:val="000000"/>
          <w:sz w:val="24"/>
          <w:szCs w:val="24"/>
        </w:rPr>
      </w:pPr>
      <w:r w:rsidRPr="00A00FF5">
        <w:rPr>
          <w:rFonts w:ascii="Arial" w:eastAsia="Times New Roman" w:hAnsi="Arial" w:cs="Arial"/>
          <w:color w:val="000000"/>
          <w:sz w:val="24"/>
          <w:szCs w:val="24"/>
        </w:rPr>
        <w:t>Section 50203(a</w:t>
      </w:r>
      <w:proofErr w:type="gramStart"/>
      <w:r w:rsidRPr="00A00FF5">
        <w:rPr>
          <w:rFonts w:ascii="Arial" w:eastAsia="Times New Roman" w:hAnsi="Arial" w:cs="Arial"/>
          <w:color w:val="000000"/>
          <w:sz w:val="24"/>
          <w:szCs w:val="24"/>
        </w:rPr>
        <w:t>)(</w:t>
      </w:r>
      <w:proofErr w:type="gramEnd"/>
      <w:r w:rsidRPr="00A00FF5">
        <w:rPr>
          <w:rFonts w:ascii="Arial" w:eastAsia="Times New Roman" w:hAnsi="Arial" w:cs="Arial"/>
          <w:color w:val="000000"/>
          <w:sz w:val="24"/>
          <w:szCs w:val="24"/>
        </w:rPr>
        <w:t>2) of the BBA of 2018 includes an extension of the temporary add-on payment  under section 1834 (l)(12)(A) of the Act that was set to expire December 31, 2017.  This add-on payment is extended through December 31, 2022. The temporary add-on payment includes a 22.6 percent increase in the base rate for ground ambulance transports that originate in an area that is within the lowest 25th percentile of all rural areas arrayed by population density (known as the “super rural” bonus).</w:t>
      </w:r>
    </w:p>
    <w:p w:rsidR="00522F09" w:rsidRPr="00A00FF5" w:rsidRDefault="00522F09" w:rsidP="00522F09">
      <w:pPr>
        <w:shd w:val="clear" w:color="auto" w:fill="FFFFFF"/>
        <w:spacing w:after="288" w:line="240" w:lineRule="auto"/>
        <w:rPr>
          <w:rFonts w:ascii="Arial" w:eastAsia="Times New Roman" w:hAnsi="Arial" w:cs="Arial"/>
          <w:color w:val="000000"/>
          <w:sz w:val="24"/>
          <w:szCs w:val="24"/>
        </w:rPr>
      </w:pPr>
      <w:r w:rsidRPr="00A00FF5">
        <w:rPr>
          <w:rFonts w:ascii="Arial" w:eastAsia="Times New Roman" w:hAnsi="Arial" w:cs="Arial"/>
          <w:color w:val="000000"/>
          <w:sz w:val="24"/>
          <w:szCs w:val="24"/>
        </w:rPr>
        <w:t>Non-Emergency ESRD Ambulance Transports:</w:t>
      </w:r>
    </w:p>
    <w:p w:rsidR="00522F09" w:rsidRPr="00A00FF5" w:rsidRDefault="00522F09" w:rsidP="00522F09">
      <w:pPr>
        <w:shd w:val="clear" w:color="auto" w:fill="FFFFFF"/>
        <w:spacing w:after="288" w:line="240" w:lineRule="auto"/>
        <w:rPr>
          <w:rFonts w:ascii="Arial" w:eastAsia="Times New Roman" w:hAnsi="Arial" w:cs="Arial"/>
          <w:color w:val="000000"/>
          <w:sz w:val="24"/>
          <w:szCs w:val="24"/>
        </w:rPr>
      </w:pPr>
      <w:r w:rsidRPr="00A00FF5">
        <w:rPr>
          <w:rFonts w:ascii="Arial" w:eastAsia="Times New Roman" w:hAnsi="Arial" w:cs="Arial"/>
          <w:color w:val="000000"/>
          <w:sz w:val="24"/>
          <w:szCs w:val="24"/>
        </w:rPr>
        <w:t>Section 53108 of the BBA of 2018 amended Section 1834(l</w:t>
      </w:r>
      <w:proofErr w:type="gramStart"/>
      <w:r w:rsidRPr="00A00FF5">
        <w:rPr>
          <w:rFonts w:ascii="Arial" w:eastAsia="Times New Roman" w:hAnsi="Arial" w:cs="Arial"/>
          <w:color w:val="000000"/>
          <w:sz w:val="24"/>
          <w:szCs w:val="24"/>
        </w:rPr>
        <w:t>)(</w:t>
      </w:r>
      <w:proofErr w:type="gramEnd"/>
      <w:r w:rsidRPr="00A00FF5">
        <w:rPr>
          <w:rFonts w:ascii="Arial" w:eastAsia="Times New Roman" w:hAnsi="Arial" w:cs="Arial"/>
          <w:color w:val="000000"/>
          <w:sz w:val="24"/>
          <w:szCs w:val="24"/>
        </w:rPr>
        <w:t>15) of the Act pertaining to AFS reductions for non-emergency ESRD ambulance transports.  Effective for ambulance services furnished on or after October 1, 2018 consisting of non-emergency basic life support (BLS) services involving transport of an individual with end-stage renal disease (ESRD) for renal dialysis services furnished other than on an emergency basis by provider of services or renal dialysis facility, this provision increases the reduction in AFS payments from 10 to 23 percent.  The 10 percent reduction applies for ambulance services (as described in section 1834(l</w:t>
      </w:r>
      <w:proofErr w:type="gramStart"/>
      <w:r w:rsidRPr="00A00FF5">
        <w:rPr>
          <w:rFonts w:ascii="Arial" w:eastAsia="Times New Roman" w:hAnsi="Arial" w:cs="Arial"/>
          <w:color w:val="000000"/>
          <w:sz w:val="24"/>
          <w:szCs w:val="24"/>
        </w:rPr>
        <w:t>)(</w:t>
      </w:r>
      <w:proofErr w:type="gramEnd"/>
      <w:r w:rsidRPr="00A00FF5">
        <w:rPr>
          <w:rFonts w:ascii="Arial" w:eastAsia="Times New Roman" w:hAnsi="Arial" w:cs="Arial"/>
          <w:color w:val="000000"/>
          <w:sz w:val="24"/>
          <w:szCs w:val="24"/>
        </w:rPr>
        <w:t>15) of the Act) furnished during the period beginning on October 1, 2013 and ending on September 30, 2018.</w:t>
      </w:r>
    </w:p>
    <w:p w:rsidR="00522F09" w:rsidRPr="00A00FF5" w:rsidRDefault="00522F09" w:rsidP="00522F09">
      <w:pPr>
        <w:shd w:val="clear" w:color="auto" w:fill="FFFFFF"/>
        <w:spacing w:after="288" w:line="240" w:lineRule="auto"/>
        <w:rPr>
          <w:rFonts w:ascii="Arial" w:eastAsia="Times New Roman" w:hAnsi="Arial" w:cs="Arial"/>
          <w:color w:val="000000"/>
          <w:sz w:val="24"/>
          <w:szCs w:val="24"/>
        </w:rPr>
      </w:pPr>
      <w:r w:rsidRPr="00A00FF5">
        <w:rPr>
          <w:rFonts w:ascii="Arial" w:eastAsia="Times New Roman" w:hAnsi="Arial" w:cs="Arial"/>
          <w:color w:val="000000"/>
          <w:sz w:val="24"/>
          <w:szCs w:val="24"/>
        </w:rPr>
        <w:t xml:space="preserve">The CY 2021 AFS PUF includes the three temporary add-on payments in the calculation and is available in </w:t>
      </w:r>
      <w:proofErr w:type="gramStart"/>
      <w:r w:rsidRPr="00A00FF5">
        <w:rPr>
          <w:rFonts w:ascii="Arial" w:eastAsia="Times New Roman" w:hAnsi="Arial" w:cs="Arial"/>
          <w:color w:val="000000"/>
          <w:sz w:val="24"/>
          <w:szCs w:val="24"/>
        </w:rPr>
        <w:t>the downloads</w:t>
      </w:r>
      <w:proofErr w:type="gramEnd"/>
      <w:r w:rsidRPr="00A00FF5">
        <w:rPr>
          <w:rFonts w:ascii="Arial" w:eastAsia="Times New Roman" w:hAnsi="Arial" w:cs="Arial"/>
          <w:color w:val="000000"/>
          <w:sz w:val="24"/>
          <w:szCs w:val="24"/>
        </w:rPr>
        <w:t xml:space="preserve"> section below.</w:t>
      </w:r>
    </w:p>
    <w:p w:rsidR="00522F09" w:rsidRPr="00A00FF5" w:rsidRDefault="00522F09" w:rsidP="00522F09">
      <w:pPr>
        <w:shd w:val="clear" w:color="auto" w:fill="FFFFFF"/>
        <w:spacing w:after="288" w:line="240" w:lineRule="auto"/>
        <w:rPr>
          <w:rFonts w:ascii="Arial" w:eastAsia="Times New Roman" w:hAnsi="Arial" w:cs="Arial"/>
          <w:color w:val="000000"/>
          <w:sz w:val="24"/>
          <w:szCs w:val="24"/>
        </w:rPr>
      </w:pPr>
      <w:r w:rsidRPr="00A00FF5">
        <w:rPr>
          <w:rFonts w:ascii="Arial" w:eastAsia="Times New Roman" w:hAnsi="Arial" w:cs="Arial"/>
          <w:b/>
          <w:bCs/>
          <w:color w:val="000000"/>
          <w:sz w:val="24"/>
          <w:szCs w:val="24"/>
        </w:rPr>
        <w:t>Data Elements of the AFS Data File</w:t>
      </w:r>
    </w:p>
    <w:p w:rsidR="00522F09" w:rsidRPr="00A00FF5" w:rsidRDefault="00522F09" w:rsidP="00522F09">
      <w:pPr>
        <w:shd w:val="clear" w:color="auto" w:fill="FFFFFF"/>
        <w:spacing w:after="288" w:line="240" w:lineRule="auto"/>
        <w:rPr>
          <w:rFonts w:ascii="Arial" w:eastAsia="Times New Roman" w:hAnsi="Arial" w:cs="Arial"/>
          <w:color w:val="000000"/>
          <w:sz w:val="24"/>
          <w:szCs w:val="24"/>
        </w:rPr>
      </w:pPr>
      <w:r w:rsidRPr="00A00FF5">
        <w:rPr>
          <w:rFonts w:ascii="Arial" w:eastAsia="Times New Roman" w:hAnsi="Arial" w:cs="Arial"/>
          <w:color w:val="000000"/>
          <w:sz w:val="24"/>
          <w:szCs w:val="24"/>
        </w:rPr>
        <w:t>(1) Contractor: This is the identifier used by the CMS to identify the entity which has the responsibility for adjudicating and paying claims within a defined geographical location.</w:t>
      </w:r>
    </w:p>
    <w:p w:rsidR="00522F09" w:rsidRPr="00A00FF5" w:rsidRDefault="00522F09" w:rsidP="00522F09">
      <w:pPr>
        <w:shd w:val="clear" w:color="auto" w:fill="FFFFFF"/>
        <w:spacing w:after="288" w:line="240" w:lineRule="auto"/>
        <w:rPr>
          <w:rFonts w:ascii="Arial" w:eastAsia="Times New Roman" w:hAnsi="Arial" w:cs="Arial"/>
          <w:color w:val="000000"/>
          <w:sz w:val="24"/>
          <w:szCs w:val="24"/>
        </w:rPr>
      </w:pPr>
      <w:r w:rsidRPr="00A00FF5">
        <w:rPr>
          <w:rFonts w:ascii="Arial" w:eastAsia="Times New Roman" w:hAnsi="Arial" w:cs="Arial"/>
          <w:color w:val="000000"/>
          <w:sz w:val="24"/>
          <w:szCs w:val="24"/>
        </w:rPr>
        <w:t xml:space="preserve">Part </w:t>
      </w:r>
      <w:proofErr w:type="gramStart"/>
      <w:r w:rsidRPr="00A00FF5">
        <w:rPr>
          <w:rFonts w:ascii="Arial" w:eastAsia="Times New Roman" w:hAnsi="Arial" w:cs="Arial"/>
          <w:color w:val="000000"/>
          <w:sz w:val="24"/>
          <w:szCs w:val="24"/>
        </w:rPr>
        <w:t>A</w:t>
      </w:r>
      <w:proofErr w:type="gramEnd"/>
      <w:r w:rsidRPr="00A00FF5">
        <w:rPr>
          <w:rFonts w:ascii="Arial" w:eastAsia="Times New Roman" w:hAnsi="Arial" w:cs="Arial"/>
          <w:color w:val="000000"/>
          <w:sz w:val="24"/>
          <w:szCs w:val="24"/>
        </w:rPr>
        <w:t xml:space="preserve"> Medicare Administrative Contractors (MACs) pay for ambulance services based on the zip code within the appropriate carrier geographic location.</w:t>
      </w:r>
    </w:p>
    <w:p w:rsidR="00522F09" w:rsidRPr="00A00FF5" w:rsidRDefault="00522F09" w:rsidP="00522F09">
      <w:pPr>
        <w:shd w:val="clear" w:color="auto" w:fill="FFFFFF"/>
        <w:spacing w:after="288" w:line="240" w:lineRule="auto"/>
        <w:rPr>
          <w:rFonts w:ascii="Arial" w:eastAsia="Times New Roman" w:hAnsi="Arial" w:cs="Arial"/>
          <w:color w:val="000000"/>
          <w:sz w:val="24"/>
          <w:szCs w:val="24"/>
        </w:rPr>
      </w:pPr>
      <w:r w:rsidRPr="00A00FF5">
        <w:rPr>
          <w:rFonts w:ascii="Arial" w:eastAsia="Times New Roman" w:hAnsi="Arial" w:cs="Arial"/>
          <w:color w:val="000000"/>
          <w:sz w:val="24"/>
          <w:szCs w:val="24"/>
        </w:rPr>
        <w:t>(2) Locality: This field represents subsets of locations within a defined jurisdiction with different geographic practice cost indices (GPCI’s).</w:t>
      </w:r>
    </w:p>
    <w:p w:rsidR="00522F09" w:rsidRPr="00A00FF5" w:rsidRDefault="00522F09" w:rsidP="00522F09">
      <w:pPr>
        <w:shd w:val="clear" w:color="auto" w:fill="FFFFFF"/>
        <w:spacing w:after="288" w:line="240" w:lineRule="auto"/>
        <w:rPr>
          <w:rFonts w:ascii="Arial" w:eastAsia="Times New Roman" w:hAnsi="Arial" w:cs="Arial"/>
          <w:color w:val="000000"/>
          <w:sz w:val="24"/>
          <w:szCs w:val="24"/>
        </w:rPr>
      </w:pPr>
      <w:r w:rsidRPr="00A00FF5">
        <w:rPr>
          <w:rFonts w:ascii="Arial" w:eastAsia="Times New Roman" w:hAnsi="Arial" w:cs="Arial"/>
          <w:color w:val="000000"/>
          <w:sz w:val="24"/>
          <w:szCs w:val="24"/>
        </w:rPr>
        <w:t>(3) HCPCS: This field lists the associated HCPCS codes that are reported for services payable under the AFS.</w:t>
      </w:r>
    </w:p>
    <w:p w:rsidR="00522F09" w:rsidRPr="00A00FF5" w:rsidRDefault="00522F09" w:rsidP="00522F09">
      <w:pPr>
        <w:shd w:val="clear" w:color="auto" w:fill="FFFFFF"/>
        <w:spacing w:after="288" w:line="240" w:lineRule="auto"/>
        <w:rPr>
          <w:rFonts w:ascii="Arial" w:eastAsia="Times New Roman" w:hAnsi="Arial" w:cs="Arial"/>
          <w:color w:val="000000"/>
          <w:sz w:val="24"/>
          <w:szCs w:val="24"/>
        </w:rPr>
      </w:pPr>
      <w:r w:rsidRPr="00A00FF5">
        <w:rPr>
          <w:rFonts w:ascii="Arial" w:eastAsia="Times New Roman" w:hAnsi="Arial" w:cs="Arial"/>
          <w:color w:val="000000"/>
          <w:sz w:val="24"/>
          <w:szCs w:val="24"/>
        </w:rPr>
        <w:t xml:space="preserve">(4) Relative Value Units (RVU): RVUs set a numeric value for ambulance services relative to the value of a base level ambulance service. Since there are marked differences in resources necessary to furnish the various levels of ground ambulance services, different levels of payment are appropriate for the various levels of service. The different payment amounts are based on level of service. An RVU expresses the constant multiplier for a particular type of service (including, where appropriate, an emergency response). An RVU of 1.00 is assigned to the Basic Life Support (BLS) level of ground service, i.e., BLS has an RVU of 1; higher RVU values are assigned to the </w:t>
      </w:r>
      <w:r w:rsidRPr="00A00FF5">
        <w:rPr>
          <w:rFonts w:ascii="Arial" w:eastAsia="Times New Roman" w:hAnsi="Arial" w:cs="Arial"/>
          <w:color w:val="000000"/>
          <w:sz w:val="24"/>
          <w:szCs w:val="24"/>
        </w:rPr>
        <w:lastRenderedPageBreak/>
        <w:t>other types of ground ambulance services, which require a higher level of service than BLS.</w:t>
      </w:r>
    </w:p>
    <w:p w:rsidR="00522F09" w:rsidRPr="00A00FF5" w:rsidRDefault="00522F09" w:rsidP="00522F09">
      <w:pPr>
        <w:shd w:val="clear" w:color="auto" w:fill="FFFFFF"/>
        <w:spacing w:after="288" w:line="240" w:lineRule="auto"/>
        <w:rPr>
          <w:rFonts w:ascii="Arial" w:eastAsia="Times New Roman" w:hAnsi="Arial" w:cs="Arial"/>
          <w:color w:val="000000"/>
          <w:sz w:val="24"/>
          <w:szCs w:val="24"/>
        </w:rPr>
      </w:pPr>
      <w:r w:rsidRPr="00A00FF5">
        <w:rPr>
          <w:rFonts w:ascii="Arial" w:eastAsia="Times New Roman" w:hAnsi="Arial" w:cs="Arial"/>
          <w:color w:val="000000"/>
          <w:sz w:val="24"/>
          <w:szCs w:val="24"/>
        </w:rPr>
        <w:t>The RVUs are as follows:</w:t>
      </w:r>
    </w:p>
    <w:tbl>
      <w:tblPr>
        <w:tblW w:w="9780" w:type="dxa"/>
        <w:tblCellMar>
          <w:top w:w="15" w:type="dxa"/>
          <w:left w:w="15" w:type="dxa"/>
          <w:bottom w:w="15" w:type="dxa"/>
          <w:right w:w="15" w:type="dxa"/>
        </w:tblCellMar>
        <w:tblLook w:val="04A0" w:firstRow="1" w:lastRow="0" w:firstColumn="1" w:lastColumn="0" w:noHBand="0" w:noVBand="1"/>
      </w:tblPr>
      <w:tblGrid>
        <w:gridCol w:w="8388"/>
        <w:gridCol w:w="1392"/>
      </w:tblGrid>
      <w:tr w:rsidR="00522F09" w:rsidRPr="00A00FF5" w:rsidTr="002E65B8">
        <w:trPr>
          <w:tblHeader/>
        </w:trPr>
        <w:tc>
          <w:tcPr>
            <w:tcW w:w="8610" w:type="dxa"/>
            <w:tcBorders>
              <w:top w:val="single" w:sz="6" w:space="0" w:color="5B616B"/>
              <w:left w:val="single" w:sz="6" w:space="0" w:color="5B616B"/>
              <w:bottom w:val="single" w:sz="6" w:space="0" w:color="5B616B"/>
              <w:right w:val="single" w:sz="6" w:space="0" w:color="5B616B"/>
            </w:tcBorders>
            <w:shd w:val="clear" w:color="auto" w:fill="F1F1F1"/>
            <w:tcMar>
              <w:top w:w="240" w:type="dxa"/>
              <w:left w:w="240" w:type="dxa"/>
              <w:bottom w:w="240" w:type="dxa"/>
              <w:right w:w="240" w:type="dxa"/>
            </w:tcMar>
            <w:vAlign w:val="center"/>
            <w:hideMark/>
          </w:tcPr>
          <w:p w:rsidR="00522F09" w:rsidRPr="00A00FF5" w:rsidRDefault="00522F09" w:rsidP="002E65B8">
            <w:pPr>
              <w:spacing w:after="0" w:line="240" w:lineRule="auto"/>
              <w:rPr>
                <w:rFonts w:ascii="Arial" w:eastAsia="Times New Roman" w:hAnsi="Arial" w:cs="Arial"/>
                <w:b/>
                <w:bCs/>
                <w:color w:val="000000"/>
                <w:sz w:val="24"/>
                <w:szCs w:val="24"/>
              </w:rPr>
            </w:pPr>
            <w:r w:rsidRPr="00A00FF5">
              <w:rPr>
                <w:rFonts w:ascii="Arial" w:eastAsia="Times New Roman" w:hAnsi="Arial" w:cs="Arial"/>
                <w:b/>
                <w:bCs/>
                <w:color w:val="000000"/>
                <w:sz w:val="24"/>
                <w:szCs w:val="24"/>
                <w:u w:val="single"/>
              </w:rPr>
              <w:t>Service Level</w:t>
            </w:r>
            <w:r w:rsidRPr="00A00FF5">
              <w:rPr>
                <w:rFonts w:ascii="Arial" w:eastAsia="Times New Roman" w:hAnsi="Arial" w:cs="Arial"/>
                <w:b/>
                <w:bCs/>
                <w:color w:val="000000"/>
                <w:sz w:val="24"/>
                <w:szCs w:val="24"/>
              </w:rPr>
              <w:t> (HCPCS Code)</w:t>
            </w:r>
          </w:p>
        </w:tc>
        <w:tc>
          <w:tcPr>
            <w:tcW w:w="1170" w:type="dxa"/>
            <w:tcBorders>
              <w:top w:val="single" w:sz="6" w:space="0" w:color="5B616B"/>
              <w:left w:val="single" w:sz="6" w:space="0" w:color="5B616B"/>
              <w:bottom w:val="single" w:sz="6" w:space="0" w:color="5B616B"/>
              <w:right w:val="single" w:sz="6" w:space="0" w:color="5B616B"/>
            </w:tcBorders>
            <w:shd w:val="clear" w:color="auto" w:fill="F1F1F1"/>
            <w:tcMar>
              <w:top w:w="240" w:type="dxa"/>
              <w:left w:w="240" w:type="dxa"/>
              <w:bottom w:w="240" w:type="dxa"/>
              <w:right w:w="240" w:type="dxa"/>
            </w:tcMar>
            <w:vAlign w:val="center"/>
            <w:hideMark/>
          </w:tcPr>
          <w:p w:rsidR="00522F09" w:rsidRPr="00A00FF5" w:rsidRDefault="00522F09" w:rsidP="002E65B8">
            <w:pPr>
              <w:spacing w:after="0" w:line="240" w:lineRule="auto"/>
              <w:ind w:right="405"/>
              <w:rPr>
                <w:rFonts w:ascii="Arial" w:eastAsia="Times New Roman" w:hAnsi="Arial" w:cs="Arial"/>
                <w:b/>
                <w:bCs/>
                <w:color w:val="000000"/>
                <w:sz w:val="24"/>
                <w:szCs w:val="24"/>
              </w:rPr>
            </w:pPr>
            <w:r w:rsidRPr="00A00FF5">
              <w:rPr>
                <w:rFonts w:ascii="Arial" w:eastAsia="Times New Roman" w:hAnsi="Arial" w:cs="Arial"/>
                <w:b/>
                <w:bCs/>
                <w:color w:val="000000"/>
                <w:sz w:val="24"/>
                <w:szCs w:val="24"/>
                <w:u w:val="single"/>
              </w:rPr>
              <w:t>RVU</w:t>
            </w:r>
          </w:p>
        </w:tc>
      </w:tr>
      <w:tr w:rsidR="00522F09" w:rsidRPr="00A00FF5" w:rsidTr="002E65B8">
        <w:tc>
          <w:tcPr>
            <w:tcW w:w="8610" w:type="dxa"/>
            <w:tcBorders>
              <w:top w:val="single" w:sz="6" w:space="0" w:color="5B616B"/>
              <w:left w:val="single" w:sz="6" w:space="0" w:color="5B616B"/>
              <w:bottom w:val="single" w:sz="6" w:space="0" w:color="5B616B"/>
              <w:right w:val="single" w:sz="6" w:space="0" w:color="5B616B"/>
            </w:tcBorders>
            <w:shd w:val="clear" w:color="auto" w:fill="FFFFFF"/>
            <w:tcMar>
              <w:top w:w="240" w:type="dxa"/>
              <w:left w:w="240" w:type="dxa"/>
              <w:bottom w:w="240" w:type="dxa"/>
              <w:right w:w="240" w:type="dxa"/>
            </w:tcMar>
            <w:hideMark/>
          </w:tcPr>
          <w:p w:rsidR="00522F09" w:rsidRPr="00A00FF5" w:rsidRDefault="00522F09" w:rsidP="002E65B8">
            <w:pPr>
              <w:spacing w:after="0" w:line="240" w:lineRule="auto"/>
              <w:rPr>
                <w:rFonts w:ascii="Arial" w:eastAsia="Times New Roman" w:hAnsi="Arial" w:cs="Arial"/>
                <w:color w:val="000000"/>
                <w:sz w:val="24"/>
                <w:szCs w:val="24"/>
              </w:rPr>
            </w:pPr>
            <w:r w:rsidRPr="00A00FF5">
              <w:rPr>
                <w:rFonts w:ascii="Arial" w:eastAsia="Times New Roman" w:hAnsi="Arial" w:cs="Arial"/>
                <w:color w:val="000000"/>
                <w:sz w:val="24"/>
                <w:szCs w:val="24"/>
              </w:rPr>
              <w:t>Basic Life Support, Non-emergency (BLS) (A0428)</w:t>
            </w:r>
          </w:p>
        </w:tc>
        <w:tc>
          <w:tcPr>
            <w:tcW w:w="1170" w:type="dxa"/>
            <w:tcBorders>
              <w:top w:val="single" w:sz="6" w:space="0" w:color="5B616B"/>
              <w:left w:val="single" w:sz="6" w:space="0" w:color="5B616B"/>
              <w:bottom w:val="single" w:sz="6" w:space="0" w:color="5B616B"/>
              <w:right w:val="single" w:sz="6" w:space="0" w:color="5B616B"/>
            </w:tcBorders>
            <w:shd w:val="clear" w:color="auto" w:fill="FFFFFF"/>
            <w:tcMar>
              <w:top w:w="240" w:type="dxa"/>
              <w:left w:w="240" w:type="dxa"/>
              <w:bottom w:w="240" w:type="dxa"/>
              <w:right w:w="240" w:type="dxa"/>
            </w:tcMar>
            <w:hideMark/>
          </w:tcPr>
          <w:p w:rsidR="00522F09" w:rsidRPr="00A00FF5" w:rsidRDefault="00522F09" w:rsidP="002E65B8">
            <w:pPr>
              <w:spacing w:after="0" w:line="240" w:lineRule="auto"/>
              <w:rPr>
                <w:rFonts w:ascii="Arial" w:eastAsia="Times New Roman" w:hAnsi="Arial" w:cs="Arial"/>
                <w:color w:val="000000"/>
                <w:sz w:val="24"/>
                <w:szCs w:val="24"/>
              </w:rPr>
            </w:pPr>
            <w:r w:rsidRPr="00A00FF5">
              <w:rPr>
                <w:rFonts w:ascii="Arial" w:eastAsia="Times New Roman" w:hAnsi="Arial" w:cs="Arial"/>
                <w:color w:val="000000"/>
                <w:sz w:val="24"/>
                <w:szCs w:val="24"/>
              </w:rPr>
              <w:t>1.00</w:t>
            </w:r>
          </w:p>
        </w:tc>
      </w:tr>
      <w:tr w:rsidR="00522F09" w:rsidRPr="00A00FF5" w:rsidTr="002E65B8">
        <w:tc>
          <w:tcPr>
            <w:tcW w:w="8610" w:type="dxa"/>
            <w:tcBorders>
              <w:top w:val="single" w:sz="6" w:space="0" w:color="5B616B"/>
              <w:left w:val="single" w:sz="6" w:space="0" w:color="5B616B"/>
              <w:bottom w:val="single" w:sz="6" w:space="0" w:color="5B616B"/>
              <w:right w:val="single" w:sz="6" w:space="0" w:color="5B616B"/>
            </w:tcBorders>
            <w:shd w:val="clear" w:color="auto" w:fill="FFFFFF"/>
            <w:tcMar>
              <w:top w:w="240" w:type="dxa"/>
              <w:left w:w="240" w:type="dxa"/>
              <w:bottom w:w="240" w:type="dxa"/>
              <w:right w:w="240" w:type="dxa"/>
            </w:tcMar>
            <w:hideMark/>
          </w:tcPr>
          <w:p w:rsidR="00522F09" w:rsidRPr="00A00FF5" w:rsidRDefault="00522F09" w:rsidP="002E65B8">
            <w:pPr>
              <w:spacing w:after="0" w:line="240" w:lineRule="auto"/>
              <w:rPr>
                <w:rFonts w:ascii="Arial" w:eastAsia="Times New Roman" w:hAnsi="Arial" w:cs="Arial"/>
                <w:color w:val="000000"/>
                <w:sz w:val="24"/>
                <w:szCs w:val="24"/>
              </w:rPr>
            </w:pPr>
            <w:r w:rsidRPr="00A00FF5">
              <w:rPr>
                <w:rFonts w:ascii="Arial" w:eastAsia="Times New Roman" w:hAnsi="Arial" w:cs="Arial"/>
                <w:color w:val="000000"/>
                <w:sz w:val="24"/>
                <w:szCs w:val="24"/>
              </w:rPr>
              <w:t>Basic Life Support, emergency (BLS- Emergency) (A0429)</w:t>
            </w:r>
          </w:p>
        </w:tc>
        <w:tc>
          <w:tcPr>
            <w:tcW w:w="1170" w:type="dxa"/>
            <w:tcBorders>
              <w:top w:val="single" w:sz="6" w:space="0" w:color="5B616B"/>
              <w:left w:val="single" w:sz="6" w:space="0" w:color="5B616B"/>
              <w:bottom w:val="single" w:sz="6" w:space="0" w:color="5B616B"/>
              <w:right w:val="single" w:sz="6" w:space="0" w:color="5B616B"/>
            </w:tcBorders>
            <w:shd w:val="clear" w:color="auto" w:fill="FFFFFF"/>
            <w:tcMar>
              <w:top w:w="240" w:type="dxa"/>
              <w:left w:w="240" w:type="dxa"/>
              <w:bottom w:w="240" w:type="dxa"/>
              <w:right w:w="240" w:type="dxa"/>
            </w:tcMar>
            <w:hideMark/>
          </w:tcPr>
          <w:p w:rsidR="00522F09" w:rsidRPr="00A00FF5" w:rsidRDefault="00522F09" w:rsidP="002E65B8">
            <w:pPr>
              <w:spacing w:after="0" w:line="240" w:lineRule="auto"/>
              <w:rPr>
                <w:rFonts w:ascii="Arial" w:eastAsia="Times New Roman" w:hAnsi="Arial" w:cs="Arial"/>
                <w:color w:val="000000"/>
                <w:sz w:val="24"/>
                <w:szCs w:val="24"/>
              </w:rPr>
            </w:pPr>
            <w:r w:rsidRPr="00A00FF5">
              <w:rPr>
                <w:rFonts w:ascii="Arial" w:eastAsia="Times New Roman" w:hAnsi="Arial" w:cs="Arial"/>
                <w:color w:val="000000"/>
                <w:sz w:val="24"/>
                <w:szCs w:val="24"/>
              </w:rPr>
              <w:t>1.60</w:t>
            </w:r>
          </w:p>
        </w:tc>
      </w:tr>
      <w:tr w:rsidR="00522F09" w:rsidRPr="00A00FF5" w:rsidTr="002E65B8">
        <w:tc>
          <w:tcPr>
            <w:tcW w:w="8610" w:type="dxa"/>
            <w:tcBorders>
              <w:top w:val="single" w:sz="6" w:space="0" w:color="5B616B"/>
              <w:left w:val="single" w:sz="6" w:space="0" w:color="5B616B"/>
              <w:bottom w:val="single" w:sz="6" w:space="0" w:color="5B616B"/>
              <w:right w:val="single" w:sz="6" w:space="0" w:color="5B616B"/>
            </w:tcBorders>
            <w:shd w:val="clear" w:color="auto" w:fill="FFFFFF"/>
            <w:tcMar>
              <w:top w:w="240" w:type="dxa"/>
              <w:left w:w="240" w:type="dxa"/>
              <w:bottom w:w="240" w:type="dxa"/>
              <w:right w:w="240" w:type="dxa"/>
            </w:tcMar>
            <w:hideMark/>
          </w:tcPr>
          <w:p w:rsidR="00522F09" w:rsidRPr="00A00FF5" w:rsidRDefault="00522F09" w:rsidP="002E65B8">
            <w:pPr>
              <w:spacing w:after="0" w:line="240" w:lineRule="auto"/>
              <w:rPr>
                <w:rFonts w:ascii="Arial" w:eastAsia="Times New Roman" w:hAnsi="Arial" w:cs="Arial"/>
                <w:color w:val="000000"/>
                <w:sz w:val="24"/>
                <w:szCs w:val="24"/>
              </w:rPr>
            </w:pPr>
            <w:r w:rsidRPr="00A00FF5">
              <w:rPr>
                <w:rFonts w:ascii="Arial" w:eastAsia="Times New Roman" w:hAnsi="Arial" w:cs="Arial"/>
                <w:color w:val="000000"/>
                <w:sz w:val="24"/>
                <w:szCs w:val="24"/>
              </w:rPr>
              <w:t>Advanced Life Support, non-emergency, Level 1 (ALS1) (A0426)</w:t>
            </w:r>
          </w:p>
        </w:tc>
        <w:tc>
          <w:tcPr>
            <w:tcW w:w="1170" w:type="dxa"/>
            <w:tcBorders>
              <w:top w:val="single" w:sz="6" w:space="0" w:color="5B616B"/>
              <w:left w:val="single" w:sz="6" w:space="0" w:color="5B616B"/>
              <w:bottom w:val="single" w:sz="6" w:space="0" w:color="5B616B"/>
              <w:right w:val="single" w:sz="6" w:space="0" w:color="5B616B"/>
            </w:tcBorders>
            <w:shd w:val="clear" w:color="auto" w:fill="FFFFFF"/>
            <w:tcMar>
              <w:top w:w="240" w:type="dxa"/>
              <w:left w:w="240" w:type="dxa"/>
              <w:bottom w:w="240" w:type="dxa"/>
              <w:right w:w="240" w:type="dxa"/>
            </w:tcMar>
            <w:hideMark/>
          </w:tcPr>
          <w:p w:rsidR="00522F09" w:rsidRPr="00A00FF5" w:rsidRDefault="00522F09" w:rsidP="002E65B8">
            <w:pPr>
              <w:spacing w:after="0" w:line="240" w:lineRule="auto"/>
              <w:rPr>
                <w:rFonts w:ascii="Arial" w:eastAsia="Times New Roman" w:hAnsi="Arial" w:cs="Arial"/>
                <w:color w:val="000000"/>
                <w:sz w:val="24"/>
                <w:szCs w:val="24"/>
              </w:rPr>
            </w:pPr>
            <w:r w:rsidRPr="00A00FF5">
              <w:rPr>
                <w:rFonts w:ascii="Arial" w:eastAsia="Times New Roman" w:hAnsi="Arial" w:cs="Arial"/>
                <w:color w:val="000000"/>
                <w:sz w:val="24"/>
                <w:szCs w:val="24"/>
              </w:rPr>
              <w:t>1.20</w:t>
            </w:r>
          </w:p>
        </w:tc>
      </w:tr>
      <w:tr w:rsidR="00522F09" w:rsidRPr="00A00FF5" w:rsidTr="002E65B8">
        <w:tc>
          <w:tcPr>
            <w:tcW w:w="8610" w:type="dxa"/>
            <w:tcBorders>
              <w:top w:val="single" w:sz="6" w:space="0" w:color="5B616B"/>
              <w:left w:val="single" w:sz="6" w:space="0" w:color="5B616B"/>
              <w:bottom w:val="single" w:sz="6" w:space="0" w:color="5B616B"/>
              <w:right w:val="single" w:sz="6" w:space="0" w:color="5B616B"/>
            </w:tcBorders>
            <w:shd w:val="clear" w:color="auto" w:fill="FFFFFF"/>
            <w:tcMar>
              <w:top w:w="240" w:type="dxa"/>
              <w:left w:w="240" w:type="dxa"/>
              <w:bottom w:w="240" w:type="dxa"/>
              <w:right w:w="240" w:type="dxa"/>
            </w:tcMar>
            <w:hideMark/>
          </w:tcPr>
          <w:p w:rsidR="00522F09" w:rsidRPr="00A00FF5" w:rsidRDefault="00522F09" w:rsidP="002E65B8">
            <w:pPr>
              <w:spacing w:after="0" w:line="240" w:lineRule="auto"/>
              <w:rPr>
                <w:rFonts w:ascii="Arial" w:eastAsia="Times New Roman" w:hAnsi="Arial" w:cs="Arial"/>
                <w:color w:val="000000"/>
                <w:sz w:val="24"/>
                <w:szCs w:val="24"/>
              </w:rPr>
            </w:pPr>
            <w:r w:rsidRPr="00A00FF5">
              <w:rPr>
                <w:rFonts w:ascii="Arial" w:eastAsia="Times New Roman" w:hAnsi="Arial" w:cs="Arial"/>
                <w:color w:val="000000"/>
                <w:sz w:val="24"/>
                <w:szCs w:val="24"/>
              </w:rPr>
              <w:t>Advanced Life Support, emergency, Level 1 (ALS1- Emergency) (A0427) </w:t>
            </w:r>
          </w:p>
        </w:tc>
        <w:tc>
          <w:tcPr>
            <w:tcW w:w="1170" w:type="dxa"/>
            <w:tcBorders>
              <w:top w:val="single" w:sz="6" w:space="0" w:color="5B616B"/>
              <w:left w:val="single" w:sz="6" w:space="0" w:color="5B616B"/>
              <w:bottom w:val="single" w:sz="6" w:space="0" w:color="5B616B"/>
              <w:right w:val="single" w:sz="6" w:space="0" w:color="5B616B"/>
            </w:tcBorders>
            <w:shd w:val="clear" w:color="auto" w:fill="FFFFFF"/>
            <w:tcMar>
              <w:top w:w="240" w:type="dxa"/>
              <w:left w:w="240" w:type="dxa"/>
              <w:bottom w:w="240" w:type="dxa"/>
              <w:right w:w="240" w:type="dxa"/>
            </w:tcMar>
            <w:hideMark/>
          </w:tcPr>
          <w:p w:rsidR="00522F09" w:rsidRPr="00A00FF5" w:rsidRDefault="00522F09" w:rsidP="002E65B8">
            <w:pPr>
              <w:spacing w:after="0" w:line="240" w:lineRule="auto"/>
              <w:rPr>
                <w:rFonts w:ascii="Arial" w:eastAsia="Times New Roman" w:hAnsi="Arial" w:cs="Arial"/>
                <w:color w:val="000000"/>
                <w:sz w:val="24"/>
                <w:szCs w:val="24"/>
              </w:rPr>
            </w:pPr>
            <w:r w:rsidRPr="00A00FF5">
              <w:rPr>
                <w:rFonts w:ascii="Arial" w:eastAsia="Times New Roman" w:hAnsi="Arial" w:cs="Arial"/>
                <w:color w:val="000000"/>
                <w:sz w:val="24"/>
                <w:szCs w:val="24"/>
              </w:rPr>
              <w:t>1.90</w:t>
            </w:r>
          </w:p>
        </w:tc>
      </w:tr>
      <w:tr w:rsidR="00522F09" w:rsidRPr="00A00FF5" w:rsidTr="002E65B8">
        <w:tc>
          <w:tcPr>
            <w:tcW w:w="8610" w:type="dxa"/>
            <w:tcBorders>
              <w:top w:val="single" w:sz="6" w:space="0" w:color="5B616B"/>
              <w:left w:val="single" w:sz="6" w:space="0" w:color="5B616B"/>
              <w:bottom w:val="single" w:sz="6" w:space="0" w:color="5B616B"/>
              <w:right w:val="single" w:sz="6" w:space="0" w:color="5B616B"/>
            </w:tcBorders>
            <w:shd w:val="clear" w:color="auto" w:fill="FFFFFF"/>
            <w:tcMar>
              <w:top w:w="240" w:type="dxa"/>
              <w:left w:w="240" w:type="dxa"/>
              <w:bottom w:w="240" w:type="dxa"/>
              <w:right w:w="240" w:type="dxa"/>
            </w:tcMar>
            <w:hideMark/>
          </w:tcPr>
          <w:p w:rsidR="00522F09" w:rsidRPr="00A00FF5" w:rsidRDefault="00522F09" w:rsidP="002E65B8">
            <w:pPr>
              <w:spacing w:after="0" w:line="240" w:lineRule="auto"/>
              <w:rPr>
                <w:rFonts w:ascii="Arial" w:eastAsia="Times New Roman" w:hAnsi="Arial" w:cs="Arial"/>
                <w:color w:val="000000"/>
                <w:sz w:val="24"/>
                <w:szCs w:val="24"/>
              </w:rPr>
            </w:pPr>
            <w:r w:rsidRPr="00A00FF5">
              <w:rPr>
                <w:rFonts w:ascii="Arial" w:eastAsia="Times New Roman" w:hAnsi="Arial" w:cs="Arial"/>
                <w:color w:val="000000"/>
                <w:sz w:val="24"/>
                <w:szCs w:val="24"/>
              </w:rPr>
              <w:t>Advanced Life Support, Level 2 (ALS2) (A0433)</w:t>
            </w:r>
          </w:p>
        </w:tc>
        <w:tc>
          <w:tcPr>
            <w:tcW w:w="1170" w:type="dxa"/>
            <w:tcBorders>
              <w:top w:val="single" w:sz="6" w:space="0" w:color="5B616B"/>
              <w:left w:val="single" w:sz="6" w:space="0" w:color="5B616B"/>
              <w:bottom w:val="single" w:sz="6" w:space="0" w:color="5B616B"/>
              <w:right w:val="single" w:sz="6" w:space="0" w:color="5B616B"/>
            </w:tcBorders>
            <w:shd w:val="clear" w:color="auto" w:fill="FFFFFF"/>
            <w:tcMar>
              <w:top w:w="240" w:type="dxa"/>
              <w:left w:w="240" w:type="dxa"/>
              <w:bottom w:w="240" w:type="dxa"/>
              <w:right w:w="240" w:type="dxa"/>
            </w:tcMar>
            <w:hideMark/>
          </w:tcPr>
          <w:p w:rsidR="00522F09" w:rsidRPr="00A00FF5" w:rsidRDefault="00522F09" w:rsidP="002E65B8">
            <w:pPr>
              <w:spacing w:after="0" w:line="240" w:lineRule="auto"/>
              <w:rPr>
                <w:rFonts w:ascii="Arial" w:eastAsia="Times New Roman" w:hAnsi="Arial" w:cs="Arial"/>
                <w:color w:val="000000"/>
                <w:sz w:val="24"/>
                <w:szCs w:val="24"/>
              </w:rPr>
            </w:pPr>
            <w:r w:rsidRPr="00A00FF5">
              <w:rPr>
                <w:rFonts w:ascii="Arial" w:eastAsia="Times New Roman" w:hAnsi="Arial" w:cs="Arial"/>
                <w:color w:val="000000"/>
                <w:sz w:val="24"/>
                <w:szCs w:val="24"/>
              </w:rPr>
              <w:t>2.75</w:t>
            </w:r>
          </w:p>
        </w:tc>
      </w:tr>
      <w:tr w:rsidR="00522F09" w:rsidRPr="00A00FF5" w:rsidTr="002E65B8">
        <w:tc>
          <w:tcPr>
            <w:tcW w:w="8610" w:type="dxa"/>
            <w:tcBorders>
              <w:top w:val="single" w:sz="6" w:space="0" w:color="5B616B"/>
              <w:left w:val="single" w:sz="6" w:space="0" w:color="5B616B"/>
              <w:bottom w:val="single" w:sz="6" w:space="0" w:color="5B616B"/>
              <w:right w:val="single" w:sz="6" w:space="0" w:color="5B616B"/>
            </w:tcBorders>
            <w:shd w:val="clear" w:color="auto" w:fill="FFFFFF"/>
            <w:tcMar>
              <w:top w:w="240" w:type="dxa"/>
              <w:left w:w="240" w:type="dxa"/>
              <w:bottom w:w="240" w:type="dxa"/>
              <w:right w:w="240" w:type="dxa"/>
            </w:tcMar>
            <w:hideMark/>
          </w:tcPr>
          <w:p w:rsidR="00522F09" w:rsidRPr="00A00FF5" w:rsidRDefault="00522F09" w:rsidP="002E65B8">
            <w:pPr>
              <w:spacing w:after="0" w:line="240" w:lineRule="auto"/>
              <w:rPr>
                <w:rFonts w:ascii="Arial" w:eastAsia="Times New Roman" w:hAnsi="Arial" w:cs="Arial"/>
                <w:color w:val="000000"/>
                <w:sz w:val="24"/>
                <w:szCs w:val="24"/>
              </w:rPr>
            </w:pPr>
            <w:r w:rsidRPr="00A00FF5">
              <w:rPr>
                <w:rFonts w:ascii="Arial" w:eastAsia="Times New Roman" w:hAnsi="Arial" w:cs="Arial"/>
                <w:color w:val="000000"/>
                <w:sz w:val="24"/>
                <w:szCs w:val="24"/>
              </w:rPr>
              <w:t>Specialty Care Transport (SCT) (A0434)</w:t>
            </w:r>
          </w:p>
        </w:tc>
        <w:tc>
          <w:tcPr>
            <w:tcW w:w="1170" w:type="dxa"/>
            <w:tcBorders>
              <w:top w:val="single" w:sz="6" w:space="0" w:color="5B616B"/>
              <w:left w:val="single" w:sz="6" w:space="0" w:color="5B616B"/>
              <w:bottom w:val="single" w:sz="6" w:space="0" w:color="5B616B"/>
              <w:right w:val="single" w:sz="6" w:space="0" w:color="5B616B"/>
            </w:tcBorders>
            <w:shd w:val="clear" w:color="auto" w:fill="FFFFFF"/>
            <w:tcMar>
              <w:top w:w="240" w:type="dxa"/>
              <w:left w:w="240" w:type="dxa"/>
              <w:bottom w:w="240" w:type="dxa"/>
              <w:right w:w="240" w:type="dxa"/>
            </w:tcMar>
            <w:hideMark/>
          </w:tcPr>
          <w:p w:rsidR="00522F09" w:rsidRPr="00A00FF5" w:rsidRDefault="00522F09" w:rsidP="002E65B8">
            <w:pPr>
              <w:spacing w:after="0" w:line="240" w:lineRule="auto"/>
              <w:rPr>
                <w:rFonts w:ascii="Arial" w:eastAsia="Times New Roman" w:hAnsi="Arial" w:cs="Arial"/>
                <w:color w:val="000000"/>
                <w:sz w:val="24"/>
                <w:szCs w:val="24"/>
              </w:rPr>
            </w:pPr>
            <w:r w:rsidRPr="00A00FF5">
              <w:rPr>
                <w:rFonts w:ascii="Arial" w:eastAsia="Times New Roman" w:hAnsi="Arial" w:cs="Arial"/>
                <w:color w:val="000000"/>
                <w:sz w:val="24"/>
                <w:szCs w:val="24"/>
              </w:rPr>
              <w:t>3.25</w:t>
            </w:r>
          </w:p>
        </w:tc>
      </w:tr>
      <w:tr w:rsidR="00522F09" w:rsidRPr="00A00FF5" w:rsidTr="002E65B8">
        <w:tc>
          <w:tcPr>
            <w:tcW w:w="8610" w:type="dxa"/>
            <w:tcBorders>
              <w:top w:val="single" w:sz="6" w:space="0" w:color="5B616B"/>
              <w:left w:val="single" w:sz="6" w:space="0" w:color="5B616B"/>
              <w:bottom w:val="single" w:sz="6" w:space="0" w:color="5B616B"/>
              <w:right w:val="single" w:sz="6" w:space="0" w:color="5B616B"/>
            </w:tcBorders>
            <w:shd w:val="clear" w:color="auto" w:fill="FFFFFF"/>
            <w:tcMar>
              <w:top w:w="240" w:type="dxa"/>
              <w:left w:w="240" w:type="dxa"/>
              <w:bottom w:w="240" w:type="dxa"/>
              <w:right w:w="240" w:type="dxa"/>
            </w:tcMar>
            <w:hideMark/>
          </w:tcPr>
          <w:p w:rsidR="00522F09" w:rsidRPr="00A00FF5" w:rsidRDefault="00522F09" w:rsidP="002E65B8">
            <w:pPr>
              <w:spacing w:after="0" w:line="240" w:lineRule="auto"/>
              <w:rPr>
                <w:rFonts w:ascii="Arial" w:eastAsia="Times New Roman" w:hAnsi="Arial" w:cs="Arial"/>
                <w:color w:val="000000"/>
                <w:sz w:val="24"/>
                <w:szCs w:val="24"/>
              </w:rPr>
            </w:pPr>
            <w:r w:rsidRPr="00A00FF5">
              <w:rPr>
                <w:rFonts w:ascii="Arial" w:eastAsia="Times New Roman" w:hAnsi="Arial" w:cs="Arial"/>
                <w:color w:val="000000"/>
                <w:sz w:val="24"/>
                <w:szCs w:val="24"/>
              </w:rPr>
              <w:t>Paramedic Intercept (PI) (A0432)</w:t>
            </w:r>
          </w:p>
        </w:tc>
        <w:tc>
          <w:tcPr>
            <w:tcW w:w="1170" w:type="dxa"/>
            <w:tcBorders>
              <w:top w:val="single" w:sz="6" w:space="0" w:color="5B616B"/>
              <w:left w:val="single" w:sz="6" w:space="0" w:color="5B616B"/>
              <w:bottom w:val="single" w:sz="6" w:space="0" w:color="5B616B"/>
              <w:right w:val="single" w:sz="6" w:space="0" w:color="5B616B"/>
            </w:tcBorders>
            <w:shd w:val="clear" w:color="auto" w:fill="FFFFFF"/>
            <w:tcMar>
              <w:top w:w="240" w:type="dxa"/>
              <w:left w:w="240" w:type="dxa"/>
              <w:bottom w:w="240" w:type="dxa"/>
              <w:right w:w="240" w:type="dxa"/>
            </w:tcMar>
            <w:hideMark/>
          </w:tcPr>
          <w:p w:rsidR="00522F09" w:rsidRPr="00A00FF5" w:rsidRDefault="00522F09" w:rsidP="002E65B8">
            <w:pPr>
              <w:spacing w:after="0" w:line="240" w:lineRule="auto"/>
              <w:rPr>
                <w:rFonts w:ascii="Arial" w:eastAsia="Times New Roman" w:hAnsi="Arial" w:cs="Arial"/>
                <w:color w:val="000000"/>
                <w:sz w:val="24"/>
                <w:szCs w:val="24"/>
              </w:rPr>
            </w:pPr>
            <w:r w:rsidRPr="00A00FF5">
              <w:rPr>
                <w:rFonts w:ascii="Arial" w:eastAsia="Times New Roman" w:hAnsi="Arial" w:cs="Arial"/>
                <w:color w:val="000000"/>
                <w:sz w:val="24"/>
                <w:szCs w:val="24"/>
              </w:rPr>
              <w:t>1.75</w:t>
            </w:r>
          </w:p>
        </w:tc>
      </w:tr>
    </w:tbl>
    <w:p w:rsidR="00522F09" w:rsidRPr="00A00FF5" w:rsidRDefault="00522F09" w:rsidP="00522F09">
      <w:pPr>
        <w:shd w:val="clear" w:color="auto" w:fill="FFFFFF"/>
        <w:spacing w:after="0" w:line="240" w:lineRule="auto"/>
        <w:rPr>
          <w:rFonts w:ascii="Arial" w:eastAsia="Times New Roman" w:hAnsi="Arial" w:cs="Arial"/>
          <w:color w:val="000000"/>
          <w:sz w:val="24"/>
          <w:szCs w:val="24"/>
        </w:rPr>
      </w:pPr>
      <w:r w:rsidRPr="00A00FF5">
        <w:rPr>
          <w:rFonts w:ascii="Arial" w:eastAsia="Times New Roman" w:hAnsi="Arial" w:cs="Arial"/>
          <w:color w:val="000000"/>
          <w:sz w:val="24"/>
          <w:szCs w:val="24"/>
        </w:rPr>
        <w:t> </w:t>
      </w:r>
    </w:p>
    <w:p w:rsidR="00522F09" w:rsidRPr="00A00FF5" w:rsidRDefault="00522F09" w:rsidP="00522F09">
      <w:pPr>
        <w:shd w:val="clear" w:color="auto" w:fill="FFFFFF"/>
        <w:spacing w:after="288" w:line="240" w:lineRule="auto"/>
        <w:rPr>
          <w:rFonts w:ascii="Arial" w:eastAsia="Times New Roman" w:hAnsi="Arial" w:cs="Arial"/>
          <w:color w:val="000000"/>
          <w:sz w:val="24"/>
          <w:szCs w:val="24"/>
        </w:rPr>
      </w:pPr>
      <w:r w:rsidRPr="00A00FF5">
        <w:rPr>
          <w:rFonts w:ascii="Arial" w:eastAsia="Times New Roman" w:hAnsi="Arial" w:cs="Arial"/>
          <w:color w:val="000000"/>
          <w:sz w:val="24"/>
          <w:szCs w:val="24"/>
        </w:rPr>
        <w:t>Air ambulance services (fixed-wing and rotary) and ground and air mileage have no RVUs. However, on the fee schedule and this public use file the base rate for air ambulance services and ground and air mileage is displayed as an RVU.</w:t>
      </w:r>
    </w:p>
    <w:p w:rsidR="00522F09" w:rsidRPr="00A00FF5" w:rsidRDefault="00522F09" w:rsidP="00522F09">
      <w:pPr>
        <w:shd w:val="clear" w:color="auto" w:fill="FFFFFF"/>
        <w:spacing w:after="288" w:line="240" w:lineRule="auto"/>
        <w:rPr>
          <w:rFonts w:ascii="Arial" w:eastAsia="Times New Roman" w:hAnsi="Arial" w:cs="Arial"/>
          <w:color w:val="000000"/>
          <w:sz w:val="24"/>
          <w:szCs w:val="24"/>
        </w:rPr>
      </w:pPr>
      <w:r w:rsidRPr="00A00FF5">
        <w:rPr>
          <w:rFonts w:ascii="Arial" w:eastAsia="Times New Roman" w:hAnsi="Arial" w:cs="Arial"/>
          <w:color w:val="000000"/>
          <w:sz w:val="24"/>
          <w:szCs w:val="24"/>
        </w:rPr>
        <w:t>(5)Geographic Practice Cost Index (GPCI): The non-facility practice expense (PE) portion of the GCPI of the Medicare physician fee schedule (PFS) is used to adjust payment to account for regional differences. The geographic areas applicable to the AFS are the same as those used for the PFS.</w:t>
      </w:r>
    </w:p>
    <w:p w:rsidR="00522F09" w:rsidRPr="00A00FF5" w:rsidRDefault="00522F09" w:rsidP="00522F09">
      <w:pPr>
        <w:shd w:val="clear" w:color="auto" w:fill="FFFFFF"/>
        <w:spacing w:after="288" w:line="240" w:lineRule="auto"/>
        <w:rPr>
          <w:rFonts w:ascii="Arial" w:eastAsia="Times New Roman" w:hAnsi="Arial" w:cs="Arial"/>
          <w:color w:val="000000"/>
          <w:sz w:val="24"/>
          <w:szCs w:val="24"/>
        </w:rPr>
      </w:pPr>
      <w:r w:rsidRPr="00A00FF5">
        <w:rPr>
          <w:rFonts w:ascii="Arial" w:eastAsia="Times New Roman" w:hAnsi="Arial" w:cs="Arial"/>
          <w:color w:val="000000"/>
          <w:sz w:val="24"/>
          <w:szCs w:val="24"/>
        </w:rPr>
        <w:t>The location where the beneficiary was put into the ambulance (“point of pickup”) establishes which GPCI applies. For multiple vehicle transports, i.e., where ground ambulance transports to an air ambulance, each leg of the transport is separately evaluated for the applicable GPCI.</w:t>
      </w:r>
    </w:p>
    <w:p w:rsidR="00522F09" w:rsidRPr="00A00FF5" w:rsidRDefault="00522F09" w:rsidP="00522F09">
      <w:pPr>
        <w:shd w:val="clear" w:color="auto" w:fill="FFFFFF"/>
        <w:spacing w:after="288" w:line="240" w:lineRule="auto"/>
        <w:rPr>
          <w:rFonts w:ascii="Arial" w:eastAsia="Times New Roman" w:hAnsi="Arial" w:cs="Arial"/>
          <w:color w:val="000000"/>
          <w:sz w:val="24"/>
          <w:szCs w:val="24"/>
        </w:rPr>
      </w:pPr>
      <w:r w:rsidRPr="00A00FF5">
        <w:rPr>
          <w:rFonts w:ascii="Arial" w:eastAsia="Times New Roman" w:hAnsi="Arial" w:cs="Arial"/>
          <w:color w:val="000000"/>
          <w:sz w:val="24"/>
          <w:szCs w:val="24"/>
        </w:rPr>
        <w:t>Thus, for the second (or any subsequent) leg of a transport, the point of pickup establishes the applicable GPCI for that portion of the ambulance transport. The GPCI is not applied to the mileage payment.</w:t>
      </w:r>
    </w:p>
    <w:p w:rsidR="00522F09" w:rsidRPr="00A00FF5" w:rsidRDefault="00522F09" w:rsidP="00522F09">
      <w:pPr>
        <w:shd w:val="clear" w:color="auto" w:fill="FFFFFF"/>
        <w:spacing w:after="288" w:line="240" w:lineRule="auto"/>
        <w:rPr>
          <w:rFonts w:ascii="Arial" w:eastAsia="Times New Roman" w:hAnsi="Arial" w:cs="Arial"/>
          <w:color w:val="000000"/>
          <w:sz w:val="24"/>
          <w:szCs w:val="24"/>
        </w:rPr>
      </w:pPr>
      <w:r w:rsidRPr="00A00FF5">
        <w:rPr>
          <w:rFonts w:ascii="Arial" w:eastAsia="Times New Roman" w:hAnsi="Arial" w:cs="Arial"/>
          <w:color w:val="000000"/>
          <w:sz w:val="24"/>
          <w:szCs w:val="24"/>
        </w:rPr>
        <w:lastRenderedPageBreak/>
        <w:t>(6)Base Rate: The Base Rate is a nationally uniform dollar amount used to calculate each HCPCS code payment amount, updated annually by the ambulance inflation factor (AIF).</w:t>
      </w:r>
    </w:p>
    <w:p w:rsidR="00522F09" w:rsidRPr="00A00FF5" w:rsidRDefault="00522F09" w:rsidP="00522F09">
      <w:pPr>
        <w:shd w:val="clear" w:color="auto" w:fill="FFFFFF"/>
        <w:spacing w:after="288" w:line="240" w:lineRule="auto"/>
        <w:rPr>
          <w:rFonts w:ascii="Arial" w:eastAsia="Times New Roman" w:hAnsi="Arial" w:cs="Arial"/>
          <w:color w:val="000000"/>
          <w:sz w:val="24"/>
          <w:szCs w:val="24"/>
        </w:rPr>
      </w:pPr>
      <w:r w:rsidRPr="00A00FF5">
        <w:rPr>
          <w:rFonts w:ascii="Arial" w:eastAsia="Times New Roman" w:hAnsi="Arial" w:cs="Arial"/>
          <w:color w:val="000000"/>
          <w:sz w:val="24"/>
          <w:szCs w:val="24"/>
        </w:rPr>
        <w:t>(7)(</w:t>
      </w:r>
      <w:proofErr w:type="gramStart"/>
      <w:r w:rsidRPr="00A00FF5">
        <w:rPr>
          <w:rFonts w:ascii="Arial" w:eastAsia="Times New Roman" w:hAnsi="Arial" w:cs="Arial"/>
          <w:color w:val="000000"/>
          <w:sz w:val="24"/>
          <w:szCs w:val="24"/>
        </w:rPr>
        <w:t>a</w:t>
      </w:r>
      <w:proofErr w:type="gramEnd"/>
      <w:r w:rsidRPr="00A00FF5">
        <w:rPr>
          <w:rFonts w:ascii="Arial" w:eastAsia="Times New Roman" w:hAnsi="Arial" w:cs="Arial"/>
          <w:color w:val="000000"/>
          <w:sz w:val="24"/>
          <w:szCs w:val="24"/>
        </w:rPr>
        <w:t>) - Urban Base Rate/Urban Mileage: This field displays one of four rates calculated as such for 2021:</w:t>
      </w:r>
    </w:p>
    <w:p w:rsidR="00522F09" w:rsidRPr="00A00FF5" w:rsidRDefault="00522F09" w:rsidP="00522F09">
      <w:pPr>
        <w:numPr>
          <w:ilvl w:val="0"/>
          <w:numId w:val="1"/>
        </w:numPr>
        <w:shd w:val="clear" w:color="auto" w:fill="FFFFFF"/>
        <w:spacing w:before="60" w:after="60" w:line="240" w:lineRule="auto"/>
        <w:ind w:left="0"/>
        <w:rPr>
          <w:rFonts w:ascii="Arial" w:eastAsia="Times New Roman" w:hAnsi="Arial" w:cs="Arial"/>
          <w:color w:val="000000"/>
          <w:sz w:val="24"/>
          <w:szCs w:val="24"/>
        </w:rPr>
      </w:pPr>
      <w:r w:rsidRPr="00A00FF5">
        <w:rPr>
          <w:rFonts w:ascii="Arial" w:eastAsia="Times New Roman" w:hAnsi="Arial" w:cs="Arial"/>
          <w:color w:val="000000"/>
          <w:sz w:val="24"/>
          <w:szCs w:val="24"/>
        </w:rPr>
        <w:t>Urban ground adjusted base rates – (RVU*(.3+ (.7*GPCI)))*BASE RATE* 1.02</w:t>
      </w:r>
    </w:p>
    <w:p w:rsidR="00522F09" w:rsidRPr="00A00FF5" w:rsidRDefault="00522F09" w:rsidP="00522F09">
      <w:pPr>
        <w:numPr>
          <w:ilvl w:val="0"/>
          <w:numId w:val="1"/>
        </w:numPr>
        <w:shd w:val="clear" w:color="auto" w:fill="FFFFFF"/>
        <w:spacing w:before="60" w:after="60" w:line="240" w:lineRule="auto"/>
        <w:ind w:left="0"/>
        <w:rPr>
          <w:rFonts w:ascii="Arial" w:eastAsia="Times New Roman" w:hAnsi="Arial" w:cs="Arial"/>
          <w:color w:val="000000"/>
          <w:sz w:val="24"/>
          <w:szCs w:val="24"/>
        </w:rPr>
      </w:pPr>
      <w:r w:rsidRPr="00A00FF5">
        <w:rPr>
          <w:rFonts w:ascii="Arial" w:eastAsia="Times New Roman" w:hAnsi="Arial" w:cs="Arial"/>
          <w:color w:val="000000"/>
          <w:sz w:val="24"/>
          <w:szCs w:val="24"/>
        </w:rPr>
        <w:t>Urban air adjusted base rates – ((BASE RATE*.5)+(BASE RATE*.5*GPCI))*RVU</w:t>
      </w:r>
    </w:p>
    <w:p w:rsidR="00522F09" w:rsidRPr="00A00FF5" w:rsidRDefault="00522F09" w:rsidP="00522F09">
      <w:pPr>
        <w:numPr>
          <w:ilvl w:val="0"/>
          <w:numId w:val="1"/>
        </w:numPr>
        <w:shd w:val="clear" w:color="auto" w:fill="FFFFFF"/>
        <w:spacing w:before="60" w:after="60" w:line="240" w:lineRule="auto"/>
        <w:ind w:left="0"/>
        <w:rPr>
          <w:rFonts w:ascii="Arial" w:eastAsia="Times New Roman" w:hAnsi="Arial" w:cs="Arial"/>
          <w:color w:val="000000"/>
          <w:sz w:val="24"/>
          <w:szCs w:val="24"/>
        </w:rPr>
      </w:pPr>
      <w:r w:rsidRPr="00A00FF5">
        <w:rPr>
          <w:rFonts w:ascii="Arial" w:eastAsia="Times New Roman" w:hAnsi="Arial" w:cs="Arial"/>
          <w:color w:val="000000"/>
          <w:sz w:val="24"/>
          <w:szCs w:val="24"/>
        </w:rPr>
        <w:t>Urban ground mileage rates – BASE RATE*1.02</w:t>
      </w:r>
    </w:p>
    <w:p w:rsidR="00522F09" w:rsidRPr="00A00FF5" w:rsidRDefault="00522F09" w:rsidP="00522F09">
      <w:pPr>
        <w:numPr>
          <w:ilvl w:val="0"/>
          <w:numId w:val="1"/>
        </w:numPr>
        <w:shd w:val="clear" w:color="auto" w:fill="FFFFFF"/>
        <w:spacing w:before="60" w:after="60" w:line="240" w:lineRule="auto"/>
        <w:ind w:left="0"/>
        <w:rPr>
          <w:rFonts w:ascii="Arial" w:eastAsia="Times New Roman" w:hAnsi="Arial" w:cs="Arial"/>
          <w:color w:val="000000"/>
          <w:sz w:val="24"/>
          <w:szCs w:val="24"/>
        </w:rPr>
      </w:pPr>
      <w:r w:rsidRPr="00A00FF5">
        <w:rPr>
          <w:rFonts w:ascii="Arial" w:eastAsia="Times New Roman" w:hAnsi="Arial" w:cs="Arial"/>
          <w:color w:val="000000"/>
          <w:sz w:val="24"/>
          <w:szCs w:val="24"/>
        </w:rPr>
        <w:t>Urban air mileage rates – BASE RATE*1.00</w:t>
      </w:r>
    </w:p>
    <w:p w:rsidR="00522F09" w:rsidRPr="00A00FF5" w:rsidRDefault="00522F09" w:rsidP="00522F09">
      <w:pPr>
        <w:shd w:val="clear" w:color="auto" w:fill="FFFFFF"/>
        <w:spacing w:after="288" w:line="240" w:lineRule="auto"/>
        <w:rPr>
          <w:rFonts w:ascii="Arial" w:eastAsia="Times New Roman" w:hAnsi="Arial" w:cs="Arial"/>
          <w:color w:val="000000"/>
          <w:sz w:val="24"/>
          <w:szCs w:val="24"/>
        </w:rPr>
      </w:pPr>
      <w:r w:rsidRPr="00A00FF5">
        <w:rPr>
          <w:rFonts w:ascii="Arial" w:eastAsia="Times New Roman" w:hAnsi="Arial" w:cs="Arial"/>
          <w:color w:val="000000"/>
          <w:sz w:val="24"/>
          <w:szCs w:val="24"/>
        </w:rPr>
        <w:t>For more information on how the urban base rate and mileage rate amounts are calculated, see the AFS final rule published in the Federal Register on February 27, 2002 (67 FR 9100).</w:t>
      </w:r>
    </w:p>
    <w:p w:rsidR="00522F09" w:rsidRPr="00A00FF5" w:rsidRDefault="00522F09" w:rsidP="00522F09">
      <w:pPr>
        <w:shd w:val="clear" w:color="auto" w:fill="FFFFFF"/>
        <w:spacing w:after="288" w:line="240" w:lineRule="auto"/>
        <w:rPr>
          <w:rFonts w:ascii="Arial" w:eastAsia="Times New Roman" w:hAnsi="Arial" w:cs="Arial"/>
          <w:color w:val="000000"/>
          <w:sz w:val="24"/>
          <w:szCs w:val="24"/>
        </w:rPr>
      </w:pPr>
      <w:r w:rsidRPr="00A00FF5">
        <w:rPr>
          <w:rFonts w:ascii="Arial" w:eastAsia="Times New Roman" w:hAnsi="Arial" w:cs="Arial"/>
          <w:color w:val="000000"/>
          <w:sz w:val="24"/>
          <w:szCs w:val="24"/>
        </w:rPr>
        <w:t>(7)(b)- Rural Base Rate / Rural Mileage:</w:t>
      </w:r>
    </w:p>
    <w:p w:rsidR="00522F09" w:rsidRPr="00A00FF5" w:rsidRDefault="00522F09" w:rsidP="00522F09">
      <w:pPr>
        <w:shd w:val="clear" w:color="auto" w:fill="FFFFFF"/>
        <w:spacing w:after="288" w:line="240" w:lineRule="auto"/>
        <w:rPr>
          <w:rFonts w:ascii="Arial" w:eastAsia="Times New Roman" w:hAnsi="Arial" w:cs="Arial"/>
          <w:color w:val="000000"/>
          <w:sz w:val="24"/>
          <w:szCs w:val="24"/>
        </w:rPr>
      </w:pPr>
      <w:r w:rsidRPr="00A00FF5">
        <w:rPr>
          <w:rFonts w:ascii="Arial" w:eastAsia="Times New Roman" w:hAnsi="Arial" w:cs="Arial"/>
          <w:color w:val="000000"/>
          <w:sz w:val="24"/>
          <w:szCs w:val="24"/>
        </w:rPr>
        <w:t>This field displays one of four rates calculated as such for 2021:</w:t>
      </w:r>
    </w:p>
    <w:p w:rsidR="00522F09" w:rsidRPr="00A00FF5" w:rsidRDefault="00522F09" w:rsidP="00522F09">
      <w:pPr>
        <w:numPr>
          <w:ilvl w:val="0"/>
          <w:numId w:val="2"/>
        </w:numPr>
        <w:shd w:val="clear" w:color="auto" w:fill="FFFFFF"/>
        <w:spacing w:before="60" w:after="60" w:line="240" w:lineRule="auto"/>
        <w:ind w:left="0"/>
        <w:rPr>
          <w:rFonts w:ascii="Arial" w:eastAsia="Times New Roman" w:hAnsi="Arial" w:cs="Arial"/>
          <w:color w:val="000000"/>
          <w:sz w:val="24"/>
          <w:szCs w:val="24"/>
        </w:rPr>
      </w:pPr>
      <w:r w:rsidRPr="00A00FF5">
        <w:rPr>
          <w:rFonts w:ascii="Arial" w:eastAsia="Times New Roman" w:hAnsi="Arial" w:cs="Arial"/>
          <w:color w:val="000000"/>
          <w:sz w:val="24"/>
          <w:szCs w:val="24"/>
        </w:rPr>
        <w:t>Rural ground adjusted base rates – (RVU*(.3+ (.7*GPCI)))*BASE  RATE* 1.03</w:t>
      </w:r>
    </w:p>
    <w:p w:rsidR="00522F09" w:rsidRPr="00A00FF5" w:rsidRDefault="00522F09" w:rsidP="00522F09">
      <w:pPr>
        <w:numPr>
          <w:ilvl w:val="0"/>
          <w:numId w:val="2"/>
        </w:numPr>
        <w:shd w:val="clear" w:color="auto" w:fill="FFFFFF"/>
        <w:spacing w:before="60" w:after="60" w:line="240" w:lineRule="auto"/>
        <w:ind w:left="0"/>
        <w:rPr>
          <w:rFonts w:ascii="Arial" w:eastAsia="Times New Roman" w:hAnsi="Arial" w:cs="Arial"/>
          <w:color w:val="000000"/>
          <w:sz w:val="24"/>
          <w:szCs w:val="24"/>
        </w:rPr>
      </w:pPr>
      <w:r w:rsidRPr="00A00FF5">
        <w:rPr>
          <w:rFonts w:ascii="Arial" w:eastAsia="Times New Roman" w:hAnsi="Arial" w:cs="Arial"/>
          <w:color w:val="000000"/>
          <w:sz w:val="24"/>
          <w:szCs w:val="24"/>
        </w:rPr>
        <w:t>Rural air adjusted base rates – ((BASE RATE*.5)+(BASE RATE*.5*GPCI))*RVU*1.5</w:t>
      </w:r>
    </w:p>
    <w:p w:rsidR="00522F09" w:rsidRPr="00A00FF5" w:rsidRDefault="00522F09" w:rsidP="00522F09">
      <w:pPr>
        <w:numPr>
          <w:ilvl w:val="0"/>
          <w:numId w:val="2"/>
        </w:numPr>
        <w:shd w:val="clear" w:color="auto" w:fill="FFFFFF"/>
        <w:spacing w:before="60" w:after="60" w:line="240" w:lineRule="auto"/>
        <w:ind w:left="0"/>
        <w:rPr>
          <w:rFonts w:ascii="Arial" w:eastAsia="Times New Roman" w:hAnsi="Arial" w:cs="Arial"/>
          <w:color w:val="000000"/>
          <w:sz w:val="24"/>
          <w:szCs w:val="24"/>
        </w:rPr>
      </w:pPr>
      <w:r w:rsidRPr="00A00FF5">
        <w:rPr>
          <w:rFonts w:ascii="Arial" w:eastAsia="Times New Roman" w:hAnsi="Arial" w:cs="Arial"/>
          <w:color w:val="000000"/>
          <w:sz w:val="24"/>
          <w:szCs w:val="24"/>
        </w:rPr>
        <w:t>Rural ground mileage rates – BASE RATE*1.03</w:t>
      </w:r>
    </w:p>
    <w:p w:rsidR="00522F09" w:rsidRPr="00A00FF5" w:rsidRDefault="00522F09" w:rsidP="00522F09">
      <w:pPr>
        <w:numPr>
          <w:ilvl w:val="0"/>
          <w:numId w:val="2"/>
        </w:numPr>
        <w:shd w:val="clear" w:color="auto" w:fill="FFFFFF"/>
        <w:spacing w:before="60" w:after="60" w:line="240" w:lineRule="auto"/>
        <w:ind w:left="0"/>
        <w:rPr>
          <w:rFonts w:ascii="Arial" w:eastAsia="Times New Roman" w:hAnsi="Arial" w:cs="Arial"/>
          <w:color w:val="000000"/>
          <w:sz w:val="24"/>
          <w:szCs w:val="24"/>
        </w:rPr>
      </w:pPr>
      <w:r w:rsidRPr="00A00FF5">
        <w:rPr>
          <w:rFonts w:ascii="Arial" w:eastAsia="Times New Roman" w:hAnsi="Arial" w:cs="Arial"/>
          <w:color w:val="000000"/>
          <w:sz w:val="24"/>
          <w:szCs w:val="24"/>
        </w:rPr>
        <w:t>Rural air mileage rates – BASE RATE*1.50</w:t>
      </w:r>
    </w:p>
    <w:p w:rsidR="00522F09" w:rsidRPr="00A00FF5" w:rsidRDefault="00522F09" w:rsidP="00522F09">
      <w:pPr>
        <w:shd w:val="clear" w:color="auto" w:fill="FFFFFF"/>
        <w:spacing w:after="288" w:line="240" w:lineRule="auto"/>
        <w:rPr>
          <w:rFonts w:ascii="Arial" w:eastAsia="Times New Roman" w:hAnsi="Arial" w:cs="Arial"/>
          <w:color w:val="000000"/>
          <w:sz w:val="24"/>
          <w:szCs w:val="24"/>
        </w:rPr>
      </w:pPr>
      <w:r w:rsidRPr="00A00FF5">
        <w:rPr>
          <w:rFonts w:ascii="Arial" w:eastAsia="Times New Roman" w:hAnsi="Arial" w:cs="Arial"/>
          <w:color w:val="000000"/>
          <w:sz w:val="24"/>
          <w:szCs w:val="24"/>
        </w:rPr>
        <w:t>The amount payable for the air base rate and air mileage rate in a rural area is 1.5 times the urban air base and mileage rate.</w:t>
      </w:r>
    </w:p>
    <w:p w:rsidR="00522F09" w:rsidRPr="00A00FF5" w:rsidRDefault="00522F09" w:rsidP="00522F09">
      <w:pPr>
        <w:shd w:val="clear" w:color="auto" w:fill="FFFFFF"/>
        <w:spacing w:after="288" w:line="240" w:lineRule="auto"/>
        <w:rPr>
          <w:rFonts w:ascii="Arial" w:eastAsia="Times New Roman" w:hAnsi="Arial" w:cs="Arial"/>
          <w:color w:val="000000"/>
          <w:sz w:val="24"/>
          <w:szCs w:val="24"/>
        </w:rPr>
      </w:pPr>
      <w:r w:rsidRPr="00A00FF5">
        <w:rPr>
          <w:rFonts w:ascii="Arial" w:eastAsia="Times New Roman" w:hAnsi="Arial" w:cs="Arial"/>
          <w:color w:val="000000"/>
          <w:sz w:val="24"/>
          <w:szCs w:val="24"/>
        </w:rPr>
        <w:t>For more information on how the rural base rate and mileage rate amounts are calculated, see the AFS final rule published in the Federal Register on February 27, 2002 (67 FR 9100).</w:t>
      </w:r>
    </w:p>
    <w:p w:rsidR="00522F09" w:rsidRPr="00A00FF5" w:rsidRDefault="00522F09" w:rsidP="00522F09">
      <w:pPr>
        <w:shd w:val="clear" w:color="auto" w:fill="FFFFFF"/>
        <w:spacing w:after="288" w:line="240" w:lineRule="auto"/>
        <w:rPr>
          <w:rFonts w:ascii="Arial" w:eastAsia="Times New Roman" w:hAnsi="Arial" w:cs="Arial"/>
          <w:color w:val="000000"/>
          <w:sz w:val="24"/>
          <w:szCs w:val="24"/>
        </w:rPr>
      </w:pPr>
      <w:r w:rsidRPr="00A00FF5">
        <w:rPr>
          <w:rFonts w:ascii="Arial" w:eastAsia="Times New Roman" w:hAnsi="Arial" w:cs="Arial"/>
          <w:color w:val="000000"/>
          <w:sz w:val="24"/>
          <w:szCs w:val="24"/>
        </w:rPr>
        <w:t>(7)(c) - Rural Base Rate / Lowest Quartile:</w:t>
      </w:r>
    </w:p>
    <w:p w:rsidR="00522F09" w:rsidRPr="00A00FF5" w:rsidRDefault="00522F09" w:rsidP="00522F09">
      <w:pPr>
        <w:shd w:val="clear" w:color="auto" w:fill="FFFFFF"/>
        <w:spacing w:after="288" w:line="240" w:lineRule="auto"/>
        <w:rPr>
          <w:rFonts w:ascii="Arial" w:eastAsia="Times New Roman" w:hAnsi="Arial" w:cs="Arial"/>
          <w:color w:val="000000"/>
          <w:sz w:val="24"/>
          <w:szCs w:val="24"/>
        </w:rPr>
      </w:pPr>
      <w:r w:rsidRPr="00A00FF5">
        <w:rPr>
          <w:rFonts w:ascii="Arial" w:eastAsia="Times New Roman" w:hAnsi="Arial" w:cs="Arial"/>
          <w:color w:val="000000"/>
          <w:sz w:val="24"/>
          <w:szCs w:val="24"/>
        </w:rPr>
        <w:t>The “super-rural bonus” payment rate applies only to ground ambulance transports originating in a rural area determined by the Secretary to be in the lowest 25th percentile of all rural populations arrayed by population density. The MACs will apply this amount to the base rate when the point of pickup (POP) is in one of a group of designated rural ZIP codes. In order to calculate the “super-rural bonus” payment rate of 22.6%, multiply any rural ground ambulance transport service payment rate by .226. For example, for HCPCS A0428 (BLS), for Carrier 01112, Locality 05, use the rural rate of $ 294.55 and multiply by .226 for a bonus payment rate (294.55* .226 = 66.57) and then add that bonus rate to the rural rate (294.55 + = 66.57=361.12</w:t>
      </w:r>
    </w:p>
    <w:p w:rsidR="00522F09" w:rsidRPr="00A00FF5" w:rsidRDefault="00522F09" w:rsidP="00522F09">
      <w:pPr>
        <w:shd w:val="clear" w:color="auto" w:fill="FFFFFF"/>
        <w:spacing w:after="288" w:line="240" w:lineRule="auto"/>
        <w:rPr>
          <w:rFonts w:ascii="Arial" w:eastAsia="Times New Roman" w:hAnsi="Arial" w:cs="Arial"/>
          <w:color w:val="000000"/>
          <w:sz w:val="24"/>
          <w:szCs w:val="24"/>
        </w:rPr>
      </w:pPr>
      <w:r w:rsidRPr="00A00FF5">
        <w:rPr>
          <w:rFonts w:ascii="Arial" w:eastAsia="Times New Roman" w:hAnsi="Arial" w:cs="Arial"/>
          <w:color w:val="000000"/>
          <w:sz w:val="24"/>
          <w:szCs w:val="24"/>
        </w:rPr>
        <w:t>(8) Rural Ground Miles 1-17: This field displays the amounts for rural ground miles 1-17.</w:t>
      </w:r>
    </w:p>
    <w:p w:rsidR="00522F09" w:rsidRPr="00A00FF5" w:rsidRDefault="00522F09" w:rsidP="00522F09">
      <w:pPr>
        <w:shd w:val="clear" w:color="auto" w:fill="FFFFFF"/>
        <w:spacing w:after="288" w:line="240" w:lineRule="auto"/>
        <w:rPr>
          <w:rFonts w:ascii="Arial" w:eastAsia="Times New Roman" w:hAnsi="Arial" w:cs="Arial"/>
          <w:color w:val="000000"/>
          <w:sz w:val="24"/>
          <w:szCs w:val="24"/>
        </w:rPr>
      </w:pPr>
      <w:r w:rsidRPr="00A00FF5">
        <w:rPr>
          <w:rFonts w:ascii="Arial" w:eastAsia="Times New Roman" w:hAnsi="Arial" w:cs="Arial"/>
          <w:color w:val="000000"/>
          <w:sz w:val="24"/>
          <w:szCs w:val="24"/>
        </w:rPr>
        <w:t>For ground rural miles 1-17, the mileage rate for ground transports provided in a rural area is 1.5 times the rural mileage rate per mile.</w:t>
      </w:r>
    </w:p>
    <w:p w:rsidR="00522F09" w:rsidRPr="00A00FF5" w:rsidRDefault="00522F09" w:rsidP="00522F09">
      <w:pPr>
        <w:shd w:val="clear" w:color="auto" w:fill="FFFFFF"/>
        <w:spacing w:after="288" w:line="240" w:lineRule="auto"/>
        <w:rPr>
          <w:rFonts w:ascii="Arial" w:eastAsia="Times New Roman" w:hAnsi="Arial" w:cs="Arial"/>
          <w:color w:val="000000"/>
          <w:sz w:val="24"/>
          <w:szCs w:val="24"/>
        </w:rPr>
      </w:pPr>
      <w:r w:rsidRPr="00A00FF5">
        <w:rPr>
          <w:rFonts w:ascii="Arial" w:eastAsia="Times New Roman" w:hAnsi="Arial" w:cs="Arial"/>
          <w:color w:val="000000"/>
          <w:sz w:val="24"/>
          <w:szCs w:val="24"/>
        </w:rPr>
        <w:lastRenderedPageBreak/>
        <w:t>(The urban ground mileage rate applies to all miles of an ambulance transport originating in an urban area.)</w:t>
      </w:r>
    </w:p>
    <w:p w:rsidR="00522F09" w:rsidRPr="00A00FF5" w:rsidRDefault="00522F09" w:rsidP="00522F09">
      <w:pPr>
        <w:shd w:val="clear" w:color="auto" w:fill="FFFFFF"/>
        <w:spacing w:after="288" w:line="240" w:lineRule="auto"/>
        <w:rPr>
          <w:rFonts w:ascii="Arial" w:eastAsia="Times New Roman" w:hAnsi="Arial" w:cs="Arial"/>
          <w:color w:val="000000"/>
          <w:sz w:val="24"/>
          <w:szCs w:val="24"/>
        </w:rPr>
      </w:pPr>
      <w:r w:rsidRPr="00A00FF5">
        <w:rPr>
          <w:rFonts w:ascii="Arial" w:eastAsia="Times New Roman" w:hAnsi="Arial" w:cs="Arial"/>
          <w:color w:val="000000"/>
          <w:sz w:val="24"/>
          <w:szCs w:val="24"/>
        </w:rPr>
        <w:t>This field displays a rural amount for the air base rate and air mileage. The amount payable for the base rate and all air miles for all air transportation originating in a rural area is 1.5 times the urban air base and mileage rates.</w:t>
      </w:r>
    </w:p>
    <w:p w:rsidR="00AE5FCB" w:rsidRPr="00A04E1F" w:rsidRDefault="00522F09" w:rsidP="00A04E1F">
      <w:pPr>
        <w:shd w:val="clear" w:color="auto" w:fill="FFFFFF"/>
        <w:spacing w:after="288" w:line="240" w:lineRule="auto"/>
        <w:rPr>
          <w:rFonts w:ascii="Arial" w:eastAsia="Times New Roman" w:hAnsi="Arial" w:cs="Arial"/>
          <w:color w:val="000000"/>
          <w:sz w:val="24"/>
          <w:szCs w:val="24"/>
        </w:rPr>
      </w:pPr>
      <w:r w:rsidRPr="00A00FF5">
        <w:rPr>
          <w:rFonts w:ascii="Arial" w:eastAsia="Times New Roman" w:hAnsi="Arial" w:cs="Arial"/>
          <w:color w:val="000000"/>
          <w:sz w:val="24"/>
          <w:szCs w:val="24"/>
        </w:rPr>
        <w:t>For more information, please refer to 42 CFR § 414.610(c)(5)(</w:t>
      </w:r>
      <w:proofErr w:type="spellStart"/>
      <w:r w:rsidRPr="00A00FF5">
        <w:rPr>
          <w:rFonts w:ascii="Arial" w:eastAsia="Times New Roman" w:hAnsi="Arial" w:cs="Arial"/>
          <w:color w:val="000000"/>
          <w:sz w:val="24"/>
          <w:szCs w:val="24"/>
        </w:rPr>
        <w:t>i</w:t>
      </w:r>
      <w:proofErr w:type="spellEnd"/>
      <w:r w:rsidRPr="00A00FF5">
        <w:rPr>
          <w:rFonts w:ascii="Arial" w:eastAsia="Times New Roman" w:hAnsi="Arial" w:cs="Arial"/>
          <w:color w:val="000000"/>
          <w:sz w:val="24"/>
          <w:szCs w:val="24"/>
        </w:rPr>
        <w:t>).</w:t>
      </w:r>
    </w:p>
    <w:sectPr w:rsidR="00AE5FCB" w:rsidRPr="00A04E1F" w:rsidSect="00B21D25">
      <w:headerReference w:type="even" r:id="rId9"/>
      <w:headerReference w:type="default" r:id="rId10"/>
      <w:footerReference w:type="even" r:id="rId11"/>
      <w:footerReference w:type="default" r:id="rId12"/>
      <w:headerReference w:type="first" r:id="rId13"/>
      <w:footerReference w:type="first" r:id="rId14"/>
      <w:pgSz w:w="12240" w:h="15840"/>
      <w:pgMar w:top="135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663CD">
      <w:pPr>
        <w:spacing w:after="0" w:line="240" w:lineRule="auto"/>
      </w:pPr>
      <w:r>
        <w:separator/>
      </w:r>
    </w:p>
  </w:endnote>
  <w:endnote w:type="continuationSeparator" w:id="0">
    <w:p w:rsidR="00000000" w:rsidRDefault="00966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BB" w:rsidRDefault="009663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BB" w:rsidRDefault="009663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BB" w:rsidRDefault="009663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663CD">
      <w:pPr>
        <w:spacing w:after="0" w:line="240" w:lineRule="auto"/>
      </w:pPr>
      <w:r>
        <w:separator/>
      </w:r>
    </w:p>
  </w:footnote>
  <w:footnote w:type="continuationSeparator" w:id="0">
    <w:p w:rsidR="00000000" w:rsidRDefault="00966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BB" w:rsidRDefault="009663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BB" w:rsidRDefault="009663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BB" w:rsidRDefault="009663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C69A0"/>
    <w:multiLevelType w:val="multilevel"/>
    <w:tmpl w:val="D2E64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485E8B"/>
    <w:multiLevelType w:val="multilevel"/>
    <w:tmpl w:val="76C26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F09"/>
    <w:rsid w:val="00522F09"/>
    <w:rsid w:val="009663CD"/>
    <w:rsid w:val="00A04E1F"/>
    <w:rsid w:val="00AE5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F0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2F09"/>
    <w:rPr>
      <w:color w:val="0000FF"/>
      <w:u w:val="single"/>
    </w:rPr>
  </w:style>
  <w:style w:type="paragraph" w:styleId="Header">
    <w:name w:val="header"/>
    <w:basedOn w:val="Normal"/>
    <w:link w:val="HeaderChar"/>
    <w:uiPriority w:val="99"/>
    <w:unhideWhenUsed/>
    <w:rsid w:val="00522F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F09"/>
  </w:style>
  <w:style w:type="paragraph" w:styleId="Footer">
    <w:name w:val="footer"/>
    <w:basedOn w:val="Normal"/>
    <w:link w:val="FooterChar"/>
    <w:uiPriority w:val="99"/>
    <w:unhideWhenUsed/>
    <w:rsid w:val="00522F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Center/Provider-Type/Ambulances-Services-Cente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cms.gov/Medicare/Medicare-Fee-for-Service-Payment/AmbulanceFeeSchedule/afspu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1490</Words>
  <Characters>8494</Characters>
  <Application>Microsoft Office Word</Application>
  <DocSecurity>0</DocSecurity>
  <Lines>70</Lines>
  <Paragraphs>19</Paragraphs>
  <ScaleCrop>false</ScaleCrop>
  <Company/>
  <LinksUpToDate>false</LinksUpToDate>
  <CharactersWithSpaces>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2020-12-29T17:43:00Z</dcterms:created>
  <dcterms:modified xsi:type="dcterms:W3CDTF">2020-12-29T17:43:00Z</dcterms:modified>
</cp:coreProperties>
</file>