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960"/>
        <w:gridCol w:w="2340"/>
        <w:gridCol w:w="3240"/>
        <w:gridCol w:w="2325"/>
      </w:tblGrid>
      <w:tr w:rsidR="00110CBA" w:rsidRPr="001A4505" w14:paraId="2AFBF313" w14:textId="77777777" w:rsidTr="00FF4540">
        <w:trPr>
          <w:trHeight w:val="20"/>
        </w:trPr>
        <w:tc>
          <w:tcPr>
            <w:tcW w:w="2088" w:type="dxa"/>
          </w:tcPr>
          <w:p w14:paraId="0637573C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 xml:space="preserve">EVIDENCE-BASED UPDATES TO THE MEDICAL TREATMENT SCHECULE (MTUS) </w:t>
            </w:r>
          </w:p>
        </w:tc>
        <w:tc>
          <w:tcPr>
            <w:tcW w:w="3960" w:type="dxa"/>
          </w:tcPr>
          <w:p w14:paraId="141A5F15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52BE6AA4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30 DAY COMMENT PERIOD</w:t>
            </w:r>
          </w:p>
          <w:p w14:paraId="6E0DF064" w14:textId="1AE61538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 xml:space="preserve">PROPOSED </w:t>
            </w:r>
            <w:r w:rsidR="00270C95">
              <w:rPr>
                <w:rFonts w:ascii="Arial" w:hAnsi="Arial" w:cs="Arial"/>
                <w:b/>
                <w:sz w:val="24"/>
                <w:szCs w:val="24"/>
              </w:rPr>
              <w:t>WORKPLACE MENTAL HEALTH &amp; POSTTRAUMATIC STRESS GUIDELINE UPDATES</w:t>
            </w:r>
          </w:p>
        </w:tc>
        <w:tc>
          <w:tcPr>
            <w:tcW w:w="2340" w:type="dxa"/>
          </w:tcPr>
          <w:p w14:paraId="27CC0BDD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59EFE78A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927332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45A2BBF" w14:textId="77777777" w:rsidR="00110CBA" w:rsidRPr="001A4505" w:rsidRDefault="00110CBA" w:rsidP="00807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505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124CE50E" w14:textId="77777777" w:rsidR="00110CBA" w:rsidRPr="001A4505" w:rsidRDefault="00110CBA" w:rsidP="00807B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1385" w:rsidRPr="001A4505" w14:paraId="0C206851" w14:textId="77777777" w:rsidTr="00FF4540">
        <w:trPr>
          <w:trHeight w:val="20"/>
        </w:trPr>
        <w:tc>
          <w:tcPr>
            <w:tcW w:w="2088" w:type="dxa"/>
          </w:tcPr>
          <w:p w14:paraId="1EA8E118" w14:textId="5442BD55" w:rsidR="005E1385" w:rsidRPr="001A4505" w:rsidRDefault="006C01E5" w:rsidP="00B07813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3960" w:type="dxa"/>
          </w:tcPr>
          <w:p w14:paraId="4FD00A3E" w14:textId="77777777" w:rsidR="009749AB" w:rsidRPr="001A4505" w:rsidRDefault="000E4D5F" w:rsidP="009749A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 xml:space="preserve">Commenter has reviewed the proposed updates and has no comment </w:t>
            </w:r>
            <w:proofErr w:type="gramStart"/>
            <w:r w:rsidRPr="001A4505">
              <w:rPr>
                <w:rFonts w:ascii="Arial" w:hAnsi="Arial" w:cs="Arial"/>
                <w:sz w:val="24"/>
                <w:szCs w:val="24"/>
              </w:rPr>
              <w:t>at this time</w:t>
            </w:r>
            <w:proofErr w:type="gramEnd"/>
            <w:r w:rsidRPr="001A45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7B25D306" w14:textId="252E11D0" w:rsidR="000E4D5F" w:rsidRPr="001A4505" w:rsidRDefault="001952F3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Alma D. Del Real</w:t>
            </w:r>
          </w:p>
          <w:p w14:paraId="751D7999" w14:textId="77777777" w:rsidR="00AC1F86" w:rsidRPr="001A4505" w:rsidRDefault="00AC1F86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06CEDC7F" w14:textId="77777777" w:rsidR="000E4D5F" w:rsidRPr="001A4505" w:rsidRDefault="000E4D5F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State Compensation Insurance Fund</w:t>
            </w:r>
          </w:p>
          <w:p w14:paraId="48ED95A1" w14:textId="42C57131" w:rsidR="000E4D5F" w:rsidRPr="001A4505" w:rsidRDefault="005257B8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September 25</w:t>
            </w:r>
            <w:r w:rsidR="001952F3" w:rsidRPr="001A4505">
              <w:rPr>
                <w:rFonts w:ascii="Arial" w:hAnsi="Arial" w:cs="Arial"/>
                <w:sz w:val="24"/>
                <w:szCs w:val="24"/>
              </w:rPr>
              <w:t>, 2025</w:t>
            </w:r>
          </w:p>
          <w:p w14:paraId="5D9222BE" w14:textId="77777777" w:rsidR="000E4D5F" w:rsidRPr="001A4505" w:rsidRDefault="000E4D5F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4A4BCA62" w14:textId="77777777" w:rsidR="005E1385" w:rsidRPr="001A4505" w:rsidRDefault="00E04CF9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Agree.</w:t>
            </w:r>
          </w:p>
        </w:tc>
        <w:tc>
          <w:tcPr>
            <w:tcW w:w="2325" w:type="dxa"/>
          </w:tcPr>
          <w:p w14:paraId="1216C8E4" w14:textId="77777777" w:rsidR="005E1385" w:rsidRDefault="00E04CF9" w:rsidP="00B318DB">
            <w:pPr>
              <w:rPr>
                <w:rFonts w:ascii="Arial" w:hAnsi="Arial" w:cs="Arial"/>
                <w:sz w:val="24"/>
                <w:szCs w:val="24"/>
              </w:rPr>
            </w:pPr>
            <w:r w:rsidRPr="001A4505">
              <w:rPr>
                <w:rFonts w:ascii="Arial" w:hAnsi="Arial" w:cs="Arial"/>
                <w:sz w:val="24"/>
                <w:szCs w:val="24"/>
              </w:rPr>
              <w:t>None.</w:t>
            </w:r>
          </w:p>
          <w:p w14:paraId="589FF900" w14:textId="77777777" w:rsidR="00270C95" w:rsidRPr="00270C95" w:rsidRDefault="00270C95" w:rsidP="00270C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C95" w:rsidRPr="001A4505" w14:paraId="27745410" w14:textId="77777777" w:rsidTr="00FF4540">
        <w:trPr>
          <w:trHeight w:val="20"/>
        </w:trPr>
        <w:tc>
          <w:tcPr>
            <w:tcW w:w="2088" w:type="dxa"/>
          </w:tcPr>
          <w:p w14:paraId="7E45F330" w14:textId="50E3CDE3" w:rsidR="00270C95" w:rsidRPr="001A4505" w:rsidRDefault="006C01E5" w:rsidP="00B07813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underscore or strikethrough noting changes in Revised Guidelines</w:t>
            </w:r>
          </w:p>
        </w:tc>
        <w:tc>
          <w:tcPr>
            <w:tcW w:w="3960" w:type="dxa"/>
          </w:tcPr>
          <w:p w14:paraId="022DF55E" w14:textId="2DA706CF" w:rsidR="00270C95" w:rsidRPr="00270C95" w:rsidRDefault="00270C95" w:rsidP="00270C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recounts that the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 notice states, "These proposed evidence-based updates to the MTUS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270C95">
              <w:rPr>
                <w:rFonts w:ascii="Arial" w:hAnsi="Arial" w:cs="Arial"/>
                <w:sz w:val="24"/>
                <w:szCs w:val="24"/>
              </w:rPr>
              <w:t>incorporate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by reference." Unlike the verbiage of the proposed regulations, </w:t>
            </w:r>
            <w:r>
              <w:rPr>
                <w:rFonts w:ascii="Arial" w:hAnsi="Arial" w:cs="Arial"/>
                <w:sz w:val="24"/>
                <w:szCs w:val="24"/>
              </w:rPr>
              <w:t xml:space="preserve">commenter notes that there is </w:t>
            </w:r>
            <w:r w:rsidRPr="00270C95">
              <w:rPr>
                <w:rFonts w:ascii="Arial" w:hAnsi="Arial" w:cs="Arial"/>
                <w:sz w:val="24"/>
                <w:szCs w:val="24"/>
              </w:rPr>
              <w:t>no strikethrough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indicate any additions or deletions shown in the entire contents of the proposed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ACOEM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treatment guideline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Commenter opines that this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 imposes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270C95">
              <w:rPr>
                <w:rFonts w:ascii="Arial" w:hAnsi="Arial" w:cs="Arial"/>
                <w:sz w:val="24"/>
                <w:szCs w:val="24"/>
              </w:rPr>
              <w:t>impossible undertaking and undue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unreasonable hardship within the </w:t>
            </w:r>
            <w:r w:rsidRPr="00270C95">
              <w:rPr>
                <w:rFonts w:ascii="Arial" w:hAnsi="Arial" w:cs="Arial"/>
                <w:sz w:val="24"/>
                <w:szCs w:val="24"/>
              </w:rPr>
              <w:lastRenderedPageBreak/>
              <w:t xml:space="preserve">30-day </w:t>
            </w:r>
            <w:r>
              <w:rPr>
                <w:rFonts w:ascii="Arial" w:hAnsi="Arial" w:cs="Arial"/>
                <w:sz w:val="24"/>
                <w:szCs w:val="24"/>
              </w:rPr>
              <w:t xml:space="preserve">comment 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period </w:t>
            </w:r>
            <w:r w:rsidR="006739F4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injured workers and the public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find, analyze, understand, and comment whether the propose</w:t>
            </w:r>
            <w:r w:rsidR="006739F4">
              <w:rPr>
                <w:rFonts w:ascii="Arial" w:hAnsi="Arial" w:cs="Arial"/>
                <w:sz w:val="24"/>
                <w:szCs w:val="24"/>
              </w:rPr>
              <w:t>d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 guidelines (A total of 630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pages of all for guidelines. The breakdown of the page number is 4 7, 176, 209,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198) are supported by the best available, up-to-date scientific research as specified the</w:t>
            </w:r>
          </w:p>
          <w:p w14:paraId="5C8F6CE0" w14:textId="6F5D2E83" w:rsidR="006C01E5" w:rsidRPr="006C01E5" w:rsidRDefault="00270C95" w:rsidP="006C01E5">
            <w:pPr>
              <w:rPr>
                <w:rFonts w:ascii="Arial" w:hAnsi="Arial" w:cs="Arial"/>
                <w:sz w:val="24"/>
                <w:szCs w:val="24"/>
              </w:rPr>
            </w:pPr>
            <w:r w:rsidRPr="00270C95">
              <w:rPr>
                <w:rFonts w:ascii="Arial" w:hAnsi="Arial" w:cs="Arial"/>
                <w:sz w:val="24"/>
                <w:szCs w:val="24"/>
              </w:rPr>
              <w:t xml:space="preserve">pertinent California Code of Regulations. </w:t>
            </w:r>
            <w:r>
              <w:rPr>
                <w:rFonts w:ascii="Arial" w:hAnsi="Arial" w:cs="Arial"/>
                <w:sz w:val="24"/>
                <w:szCs w:val="24"/>
              </w:rPr>
              <w:t>Commenter states that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 the regulations should be revised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so that any changes to the proposed ACOEM treatment guideline are clarified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accessible to injured workers and the public. </w:t>
            </w:r>
            <w:r>
              <w:rPr>
                <w:rFonts w:ascii="Arial" w:hAnsi="Arial" w:cs="Arial"/>
                <w:sz w:val="24"/>
                <w:szCs w:val="24"/>
              </w:rPr>
              <w:t>Commenter recommends that</w:t>
            </w:r>
            <w:r w:rsidRPr="00270C95">
              <w:rPr>
                <w:rFonts w:ascii="Arial" w:hAnsi="Arial" w:cs="Arial"/>
                <w:sz w:val="24"/>
                <w:szCs w:val="24"/>
              </w:rPr>
              <w:t xml:space="preserve"> the D</w:t>
            </w:r>
            <w:r>
              <w:rPr>
                <w:rFonts w:ascii="Arial" w:hAnsi="Arial" w:cs="Arial"/>
                <w:sz w:val="24"/>
                <w:szCs w:val="24"/>
              </w:rPr>
              <w:t xml:space="preserve">WC </w:t>
            </w:r>
            <w:r w:rsidRPr="00270C95">
              <w:rPr>
                <w:rFonts w:ascii="Arial" w:hAnsi="Arial" w:cs="Arial"/>
                <w:sz w:val="24"/>
                <w:szCs w:val="24"/>
              </w:rPr>
              <w:t>should provide another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95">
              <w:rPr>
                <w:rFonts w:ascii="Arial" w:hAnsi="Arial" w:cs="Arial"/>
                <w:sz w:val="24"/>
                <w:szCs w:val="24"/>
              </w:rPr>
              <w:t>comment period</w:t>
            </w:r>
            <w:r w:rsidR="006739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7C6F46E2" w14:textId="53FF3C0B" w:rsidR="00270C95" w:rsidRDefault="00270C95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Anonymous</w:t>
            </w:r>
          </w:p>
          <w:p w14:paraId="3F250995" w14:textId="0388C45E" w:rsidR="00270C95" w:rsidRDefault="00270C95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19, 2025</w:t>
            </w:r>
          </w:p>
          <w:p w14:paraId="68083D97" w14:textId="54E6AEFA" w:rsidR="00270C95" w:rsidRDefault="00270C95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  <w:p w14:paraId="0550B1B5" w14:textId="6D7A8AEA" w:rsidR="00270C95" w:rsidRPr="001A4505" w:rsidRDefault="00270C95" w:rsidP="00B318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3BE288D" w14:textId="3C1CF075" w:rsidR="00270C95" w:rsidRPr="001A4505" w:rsidRDefault="00BC029E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he division </w:t>
            </w:r>
            <w:r w:rsidR="001F3A21">
              <w:rPr>
                <w:rFonts w:ascii="Arial" w:hAnsi="Arial" w:cs="Arial"/>
                <w:sz w:val="24"/>
                <w:szCs w:val="24"/>
              </w:rPr>
              <w:t>doe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>s not</w:t>
            </w:r>
            <w:r w:rsidR="001F3A21">
              <w:rPr>
                <w:rFonts w:ascii="Arial" w:hAnsi="Arial" w:cs="Arial"/>
                <w:sz w:val="24"/>
                <w:szCs w:val="24"/>
              </w:rPr>
              <w:t xml:space="preserve"> author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 the guidelines and is </w:t>
            </w:r>
            <w:r w:rsidR="001F3A21">
              <w:rPr>
                <w:rFonts w:ascii="Arial" w:hAnsi="Arial" w:cs="Arial"/>
                <w:sz w:val="24"/>
                <w:szCs w:val="24"/>
              </w:rPr>
              <w:t>pres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>ent</w:t>
            </w:r>
            <w:r w:rsidR="001F3A21">
              <w:rPr>
                <w:rFonts w:ascii="Arial" w:hAnsi="Arial" w:cs="Arial"/>
                <w:sz w:val="24"/>
                <w:szCs w:val="24"/>
              </w:rPr>
              <w:t>ing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 the guidelines in </w:t>
            </w:r>
            <w:r w:rsidR="0037314E">
              <w:rPr>
                <w:rFonts w:ascii="Arial" w:hAnsi="Arial" w:cs="Arial"/>
                <w:sz w:val="24"/>
                <w:szCs w:val="24"/>
              </w:rPr>
              <w:t>their final form as produced by the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 publisher thereof.</w:t>
            </w:r>
            <w:r w:rsidR="003731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85A">
              <w:rPr>
                <w:rFonts w:ascii="Arial" w:hAnsi="Arial" w:cs="Arial"/>
                <w:sz w:val="24"/>
                <w:szCs w:val="24"/>
              </w:rPr>
              <w:t xml:space="preserve">The commenter may wish to inquire with the publisher as to the availability of </w:t>
            </w:r>
            <w:r w:rsidR="00C96FFF">
              <w:rPr>
                <w:rFonts w:ascii="Arial" w:hAnsi="Arial" w:cs="Arial"/>
                <w:sz w:val="24"/>
                <w:szCs w:val="24"/>
              </w:rPr>
              <w:t>drafting versions of the guidelines that show changes from prior versions.</w:t>
            </w:r>
            <w:r w:rsidR="00091D5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25" w:type="dxa"/>
          </w:tcPr>
          <w:p w14:paraId="31265AC0" w14:textId="75C84241" w:rsidR="00270C95" w:rsidRPr="001A4505" w:rsidRDefault="00051597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6C01E5" w:rsidRPr="001A4505" w14:paraId="526FDD2B" w14:textId="77777777" w:rsidTr="00FF4540">
        <w:trPr>
          <w:trHeight w:val="20"/>
        </w:trPr>
        <w:tc>
          <w:tcPr>
            <w:tcW w:w="2088" w:type="dxa"/>
          </w:tcPr>
          <w:p w14:paraId="6119D3FC" w14:textId="415D1F8B" w:rsidR="006C01E5" w:rsidRDefault="006C01E5" w:rsidP="00B07813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Guidelines are locked and flattened</w:t>
            </w:r>
          </w:p>
        </w:tc>
        <w:tc>
          <w:tcPr>
            <w:tcW w:w="3960" w:type="dxa"/>
          </w:tcPr>
          <w:p w14:paraId="36E657CB" w14:textId="5F4B5C9B" w:rsidR="006C01E5" w:rsidRDefault="006C01E5" w:rsidP="006C0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notes that the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 proposed and all other existing ACOEM treatment guidelines are flattened, locked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1E5">
              <w:rPr>
                <w:rFonts w:ascii="Arial" w:hAnsi="Arial" w:cs="Arial"/>
                <w:sz w:val="24"/>
                <w:szCs w:val="24"/>
              </w:rPr>
              <w:t>PDF documents which are inaccessible and impossible to copy and paste any contents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to analyze. </w:t>
            </w:r>
            <w:r>
              <w:rPr>
                <w:rFonts w:ascii="Arial" w:hAnsi="Arial" w:cs="Arial"/>
                <w:sz w:val="24"/>
                <w:szCs w:val="24"/>
              </w:rPr>
              <w:t>Commenter opines that it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 might be possible to unflatten the contents with extra steps using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1E5">
              <w:rPr>
                <w:rFonts w:ascii="Arial" w:hAnsi="Arial" w:cs="Arial"/>
                <w:sz w:val="24"/>
                <w:szCs w:val="24"/>
              </w:rPr>
              <w:t>software</w:t>
            </w:r>
            <w:r w:rsidR="00B766C8">
              <w:rPr>
                <w:rFonts w:ascii="Arial" w:hAnsi="Arial" w:cs="Arial"/>
                <w:sz w:val="24"/>
                <w:szCs w:val="24"/>
              </w:rPr>
              <w:t xml:space="preserve"> however he opines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creates an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1E5">
              <w:rPr>
                <w:rFonts w:ascii="Arial" w:hAnsi="Arial" w:cs="Arial"/>
                <w:sz w:val="24"/>
                <w:szCs w:val="24"/>
              </w:rPr>
              <w:lastRenderedPageBreak/>
              <w:t>unnecessary imposition to injured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workers and the public who might not have access to necessary resources. </w:t>
            </w:r>
            <w:r>
              <w:rPr>
                <w:rFonts w:ascii="Arial" w:hAnsi="Arial" w:cs="Arial"/>
                <w:sz w:val="24"/>
                <w:szCs w:val="24"/>
              </w:rPr>
              <w:t>Commenter opines that the DWC</w:t>
            </w:r>
            <w:r w:rsidRPr="006C01E5">
              <w:rPr>
                <w:rFonts w:ascii="Arial" w:hAnsi="Arial" w:cs="Arial"/>
                <w:sz w:val="24"/>
                <w:szCs w:val="24"/>
              </w:rPr>
              <w:t xml:space="preserve"> should provide unflatten documents to injured workers and the public.</w:t>
            </w:r>
          </w:p>
        </w:tc>
        <w:tc>
          <w:tcPr>
            <w:tcW w:w="2340" w:type="dxa"/>
          </w:tcPr>
          <w:p w14:paraId="0A6FA30F" w14:textId="77777777" w:rsidR="006C01E5" w:rsidRDefault="006C01E5" w:rsidP="006C0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Anonymous</w:t>
            </w:r>
          </w:p>
          <w:p w14:paraId="77CF1D2F" w14:textId="77777777" w:rsidR="006C01E5" w:rsidRDefault="006C01E5" w:rsidP="006C0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19, 2025</w:t>
            </w:r>
          </w:p>
          <w:p w14:paraId="5F9F90C1" w14:textId="77777777" w:rsidR="006C01E5" w:rsidRDefault="006C01E5" w:rsidP="006C0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  <w:p w14:paraId="3DC2DA24" w14:textId="77777777" w:rsidR="006C01E5" w:rsidRDefault="006C01E5" w:rsidP="00B318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7377748" w14:textId="2735B4EC" w:rsidR="006C01E5" w:rsidRPr="001A4505" w:rsidRDefault="0045749C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51597">
              <w:rPr>
                <w:rFonts w:ascii="Arial" w:hAnsi="Arial" w:cs="Arial"/>
                <w:sz w:val="24"/>
                <w:szCs w:val="24"/>
              </w:rPr>
              <w:t xml:space="preserve">he division </w:t>
            </w:r>
            <w:r>
              <w:rPr>
                <w:rFonts w:ascii="Arial" w:hAnsi="Arial" w:cs="Arial"/>
                <w:sz w:val="24"/>
                <w:szCs w:val="24"/>
              </w:rPr>
              <w:t>doe</w:t>
            </w:r>
            <w:r w:rsidRPr="00051597">
              <w:rPr>
                <w:rFonts w:ascii="Arial" w:hAnsi="Arial" w:cs="Arial"/>
                <w:sz w:val="24"/>
                <w:szCs w:val="24"/>
              </w:rPr>
              <w:t>s not</w:t>
            </w:r>
            <w:r>
              <w:rPr>
                <w:rFonts w:ascii="Arial" w:hAnsi="Arial" w:cs="Arial"/>
                <w:sz w:val="24"/>
                <w:szCs w:val="24"/>
              </w:rPr>
              <w:t xml:space="preserve"> author</w:t>
            </w:r>
            <w:r w:rsidRPr="00051597">
              <w:rPr>
                <w:rFonts w:ascii="Arial" w:hAnsi="Arial" w:cs="Arial"/>
                <w:sz w:val="24"/>
                <w:szCs w:val="24"/>
              </w:rPr>
              <w:t xml:space="preserve"> the guidelines and is </w:t>
            </w:r>
            <w:r>
              <w:rPr>
                <w:rFonts w:ascii="Arial" w:hAnsi="Arial" w:cs="Arial"/>
                <w:sz w:val="24"/>
                <w:szCs w:val="24"/>
              </w:rPr>
              <w:t>pres</w:t>
            </w:r>
            <w:r w:rsidRPr="00051597">
              <w:rPr>
                <w:rFonts w:ascii="Arial" w:hAnsi="Arial" w:cs="Arial"/>
                <w:sz w:val="24"/>
                <w:szCs w:val="24"/>
              </w:rPr>
              <w:t>ent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051597">
              <w:rPr>
                <w:rFonts w:ascii="Arial" w:hAnsi="Arial" w:cs="Arial"/>
                <w:sz w:val="24"/>
                <w:szCs w:val="24"/>
              </w:rPr>
              <w:t xml:space="preserve"> the guidelines in </w:t>
            </w:r>
            <w:r>
              <w:rPr>
                <w:rFonts w:ascii="Arial" w:hAnsi="Arial" w:cs="Arial"/>
                <w:sz w:val="24"/>
                <w:szCs w:val="24"/>
              </w:rPr>
              <w:t>their final form as produced by the</w:t>
            </w:r>
            <w:r w:rsidRPr="00051597">
              <w:rPr>
                <w:rFonts w:ascii="Arial" w:hAnsi="Arial" w:cs="Arial"/>
                <w:sz w:val="24"/>
                <w:szCs w:val="24"/>
              </w:rPr>
              <w:t xml:space="preserve"> publisher thereof.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commenter may wish to inquire with the publisher as to the availability </w:t>
            </w:r>
            <w:r w:rsidR="007C073C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 xml:space="preserve">versions of the guidelines </w:t>
            </w:r>
            <w:r w:rsidR="00E22B11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AD31C5">
              <w:rPr>
                <w:rFonts w:ascii="Arial" w:hAnsi="Arial" w:cs="Arial"/>
                <w:sz w:val="24"/>
                <w:szCs w:val="24"/>
              </w:rPr>
              <w:t xml:space="preserve">accessibility features 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7C073C">
              <w:rPr>
                <w:rFonts w:ascii="Arial" w:hAnsi="Arial" w:cs="Arial"/>
                <w:sz w:val="24"/>
                <w:szCs w:val="24"/>
              </w:rPr>
              <w:lastRenderedPageBreak/>
              <w:t>protect</w:t>
            </w:r>
            <w:r w:rsidR="00051597" w:rsidRPr="00051597">
              <w:rPr>
                <w:rFonts w:ascii="Arial" w:hAnsi="Arial" w:cs="Arial"/>
                <w:sz w:val="24"/>
                <w:szCs w:val="24"/>
              </w:rPr>
              <w:t xml:space="preserve"> the rights of the publisher</w:t>
            </w:r>
            <w:r w:rsidR="007C073C">
              <w:rPr>
                <w:rFonts w:ascii="Arial" w:hAnsi="Arial" w:cs="Arial"/>
                <w:sz w:val="24"/>
                <w:szCs w:val="24"/>
              </w:rPr>
              <w:t xml:space="preserve"> in the guidelines.</w:t>
            </w:r>
          </w:p>
        </w:tc>
        <w:tc>
          <w:tcPr>
            <w:tcW w:w="2325" w:type="dxa"/>
          </w:tcPr>
          <w:p w14:paraId="25E80E0D" w14:textId="74FF00A2" w:rsidR="006C01E5" w:rsidRPr="001A4505" w:rsidRDefault="00051597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None.</w:t>
            </w:r>
          </w:p>
        </w:tc>
      </w:tr>
      <w:tr w:rsidR="00C25357" w:rsidRPr="001A4505" w14:paraId="49AE5577" w14:textId="77777777" w:rsidTr="00FF4540">
        <w:trPr>
          <w:trHeight w:val="20"/>
        </w:trPr>
        <w:tc>
          <w:tcPr>
            <w:tcW w:w="2088" w:type="dxa"/>
          </w:tcPr>
          <w:p w14:paraId="314644A8" w14:textId="3A3C90FA" w:rsidR="00C25357" w:rsidRDefault="00C25357" w:rsidP="00B07813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Guideline References</w:t>
            </w:r>
          </w:p>
        </w:tc>
        <w:tc>
          <w:tcPr>
            <w:tcW w:w="3960" w:type="dxa"/>
          </w:tcPr>
          <w:p w14:paraId="039BC10D" w14:textId="241C608D" w:rsidR="00C25357" w:rsidRP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Commenter states that since the DWC </w:t>
            </w:r>
            <w:r w:rsidRPr="00C25357">
              <w:rPr>
                <w:rFonts w:ascii="Arial" w:hAnsi="Arial" w:cs="Arial"/>
                <w:sz w:val="24"/>
                <w:szCs w:val="24"/>
              </w:rPr>
              <w:t>only provides flattened.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locked inaccessible documents</w:t>
            </w:r>
          </w:p>
          <w:p w14:paraId="50AD136B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 w:rsidRPr="00C25357">
              <w:rPr>
                <w:rFonts w:ascii="Arial" w:hAnsi="Arial" w:cs="Arial"/>
                <w:sz w:val="24"/>
                <w:szCs w:val="24"/>
              </w:rPr>
              <w:t xml:space="preserve">without strikethrough of the proposed changes, it was impossible to review </w:t>
            </w:r>
            <w:r>
              <w:rPr>
                <w:rFonts w:ascii="Arial" w:hAnsi="Arial" w:cs="Arial"/>
                <w:sz w:val="24"/>
                <w:szCs w:val="24"/>
              </w:rPr>
              <w:t>and to provide comments to the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changes within the short </w:t>
            </w:r>
            <w:proofErr w:type="gramStart"/>
            <w:r w:rsidRPr="00C25357">
              <w:rPr>
                <w:rFonts w:ascii="Arial" w:hAnsi="Arial" w:cs="Arial"/>
                <w:sz w:val="24"/>
                <w:szCs w:val="24"/>
              </w:rPr>
              <w:t>time period</w:t>
            </w:r>
            <w:proofErr w:type="gramEnd"/>
            <w:r w:rsidRPr="00C25357">
              <w:rPr>
                <w:rFonts w:ascii="Arial" w:hAnsi="Arial" w:cs="Arial"/>
                <w:sz w:val="24"/>
                <w:szCs w:val="24"/>
              </w:rPr>
              <w:t xml:space="preserve"> (A total of 630 pages of all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guidelines). </w:t>
            </w:r>
          </w:p>
          <w:p w14:paraId="0D111AC8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0F83D" w14:textId="0D340575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Commenter opines that the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clear and only option left was to compare the references </w:t>
            </w:r>
            <w:r>
              <w:rPr>
                <w:rFonts w:ascii="Arial" w:hAnsi="Arial" w:cs="Arial"/>
                <w:sz w:val="24"/>
                <w:szCs w:val="24"/>
              </w:rPr>
              <w:t>which r</w:t>
            </w:r>
            <w:r w:rsidRPr="00C25357">
              <w:rPr>
                <w:rFonts w:ascii="Arial" w:hAnsi="Arial" w:cs="Arial"/>
                <w:sz w:val="24"/>
                <w:szCs w:val="24"/>
              </w:rPr>
              <w:t>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an enormous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25357">
              <w:rPr>
                <w:rFonts w:ascii="Arial" w:hAnsi="Arial" w:cs="Arial"/>
                <w:sz w:val="24"/>
                <w:szCs w:val="24"/>
              </w:rPr>
              <w:t>unnecessary effort due to the document setting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and made it hard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comprehend any reasons </w:t>
            </w:r>
            <w:r>
              <w:rPr>
                <w:rFonts w:ascii="Arial" w:hAnsi="Arial" w:cs="Arial"/>
                <w:sz w:val="24"/>
                <w:szCs w:val="24"/>
              </w:rPr>
              <w:t>regarding the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changes.</w:t>
            </w:r>
          </w:p>
          <w:p w14:paraId="755B899E" w14:textId="77777777" w:rsidR="00C25357" w:rsidRP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02D3B" w14:textId="098E8C0E" w:rsidR="00C25357" w:rsidRP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opines that the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reference section of the proposed guideline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is a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disservice to injured</w:t>
            </w:r>
          </w:p>
          <w:p w14:paraId="11E1E513" w14:textId="7310246A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 w:rsidRPr="00C25357">
              <w:rPr>
                <w:rFonts w:ascii="Arial" w:hAnsi="Arial" w:cs="Arial"/>
                <w:sz w:val="24"/>
                <w:szCs w:val="24"/>
              </w:rPr>
              <w:t>workers and the pubic</w:t>
            </w:r>
            <w:r>
              <w:rPr>
                <w:rFonts w:ascii="Arial" w:hAnsi="Arial" w:cs="Arial"/>
                <w:sz w:val="24"/>
                <w:szCs w:val="24"/>
              </w:rPr>
              <w:t xml:space="preserve">, providing less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information of all publications, </w:t>
            </w:r>
            <w:r w:rsidRPr="00C25357">
              <w:rPr>
                <w:rFonts w:ascii="Arial" w:hAnsi="Arial" w:cs="Arial"/>
                <w:sz w:val="24"/>
                <w:szCs w:val="24"/>
              </w:rPr>
              <w:lastRenderedPageBreak/>
              <w:t>which in tu</w:t>
            </w:r>
            <w:r w:rsidR="00FD626B">
              <w:rPr>
                <w:rFonts w:ascii="Arial" w:hAnsi="Arial" w:cs="Arial"/>
                <w:sz w:val="24"/>
                <w:szCs w:val="24"/>
              </w:rPr>
              <w:t>rn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cause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hardship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because less information prevents </w:t>
            </w:r>
            <w:r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Pr="00C25357">
              <w:rPr>
                <w:rFonts w:ascii="Arial" w:hAnsi="Arial" w:cs="Arial"/>
                <w:sz w:val="24"/>
                <w:szCs w:val="24"/>
              </w:rPr>
              <w:t>from finding information quickly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easily, in compar</w:t>
            </w:r>
            <w:r>
              <w:rPr>
                <w:rFonts w:ascii="Arial" w:hAnsi="Arial" w:cs="Arial"/>
                <w:sz w:val="24"/>
                <w:szCs w:val="24"/>
              </w:rPr>
              <w:t>ison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to the information found the current guideline. </w:t>
            </w:r>
            <w:r>
              <w:rPr>
                <w:rFonts w:ascii="Arial" w:hAnsi="Arial" w:cs="Arial"/>
                <w:sz w:val="24"/>
                <w:szCs w:val="24"/>
              </w:rPr>
              <w:t xml:space="preserve">Commenter states that the </w:t>
            </w:r>
            <w:r w:rsidRPr="00C25357">
              <w:rPr>
                <w:rFonts w:ascii="Arial" w:hAnsi="Arial" w:cs="Arial"/>
                <w:sz w:val="24"/>
                <w:szCs w:val="24"/>
              </w:rPr>
              <w:t>American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Psychological Association (APA) style or any other nationally recognized and widely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utilized by various fields, including the panel members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 who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created the proposed guideline,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should be kept </w:t>
            </w:r>
            <w:proofErr w:type="gramStart"/>
            <w:r w:rsidRPr="00C25357">
              <w:rPr>
                <w:rFonts w:ascii="Arial" w:hAnsi="Arial" w:cs="Arial"/>
                <w:sz w:val="24"/>
                <w:szCs w:val="24"/>
              </w:rPr>
              <w:t>to provide</w:t>
            </w:r>
            <w:proofErr w:type="gramEnd"/>
            <w:r w:rsidRPr="00C25357">
              <w:rPr>
                <w:rFonts w:ascii="Arial" w:hAnsi="Arial" w:cs="Arial"/>
                <w:sz w:val="24"/>
                <w:szCs w:val="24"/>
              </w:rPr>
              <w:t xml:space="preserve"> easy access to any references. </w:t>
            </w:r>
          </w:p>
          <w:p w14:paraId="6A028364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C21BA" w14:textId="57127168" w:rsidR="00C25357" w:rsidRP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states that since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the D</w:t>
            </w:r>
            <w:r>
              <w:rPr>
                <w:rFonts w:ascii="Arial" w:hAnsi="Arial" w:cs="Arial"/>
                <w:sz w:val="24"/>
                <w:szCs w:val="24"/>
              </w:rPr>
              <w:t xml:space="preserve">WC </w:t>
            </w:r>
            <w:r w:rsidRPr="00C25357">
              <w:rPr>
                <w:rFonts w:ascii="Arial" w:hAnsi="Arial" w:cs="Arial"/>
                <w:sz w:val="24"/>
                <w:szCs w:val="24"/>
              </w:rPr>
              <w:t>does not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control the ACOEM treatment guidelines, the D</w:t>
            </w:r>
            <w:r>
              <w:rPr>
                <w:rFonts w:ascii="Arial" w:hAnsi="Arial" w:cs="Arial"/>
                <w:sz w:val="24"/>
                <w:szCs w:val="24"/>
              </w:rPr>
              <w:t xml:space="preserve">WC </w:t>
            </w:r>
            <w:r w:rsidRPr="00C25357">
              <w:rPr>
                <w:rFonts w:ascii="Arial" w:hAnsi="Arial" w:cs="Arial"/>
                <w:sz w:val="24"/>
                <w:szCs w:val="24"/>
              </w:rPr>
              <w:t>should provide the complete</w:t>
            </w:r>
          </w:p>
          <w:p w14:paraId="117F93DB" w14:textId="500CFEFD" w:rsidR="00C25357" w:rsidRP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 w:rsidRPr="00C25357">
              <w:rPr>
                <w:rFonts w:ascii="Arial" w:hAnsi="Arial" w:cs="Arial"/>
                <w:sz w:val="24"/>
                <w:szCs w:val="24"/>
              </w:rPr>
              <w:t>information including URLs (</w:t>
            </w:r>
            <w:proofErr w:type="gramStart"/>
            <w:r w:rsidR="00FD626B" w:rsidRPr="00C25357">
              <w:rPr>
                <w:rFonts w:ascii="Arial" w:hAnsi="Arial" w:cs="Arial"/>
                <w:sz w:val="24"/>
                <w:szCs w:val="24"/>
              </w:rPr>
              <w:t>e.g.</w:t>
            </w:r>
            <w:r w:rsidRPr="00C2535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C25357">
              <w:rPr>
                <w:rFonts w:ascii="Arial" w:hAnsi="Arial" w:cs="Arial"/>
                <w:sz w:val="24"/>
                <w:szCs w:val="24"/>
              </w:rPr>
              <w:t xml:space="preserve"> DOI) as supplemental information upon each update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357">
              <w:rPr>
                <w:rFonts w:ascii="Arial" w:hAnsi="Arial" w:cs="Arial"/>
                <w:sz w:val="24"/>
                <w:szCs w:val="24"/>
              </w:rPr>
              <w:t>in good faith to provide transparency of the date and information that the applicable</w:t>
            </w:r>
          </w:p>
          <w:p w14:paraId="171CAB60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 w:rsidRPr="00C25357">
              <w:rPr>
                <w:rFonts w:ascii="Arial" w:hAnsi="Arial" w:cs="Arial"/>
                <w:sz w:val="24"/>
                <w:szCs w:val="24"/>
              </w:rPr>
              <w:t>codes and regulations are based on.</w:t>
            </w:r>
          </w:p>
          <w:p w14:paraId="61E781F9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FD878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states that the 2018 Edition follows the APA stye, for example:</w:t>
            </w:r>
          </w:p>
          <w:p w14:paraId="5291CE5C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7F8E7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13. Bruns, D. and J.M. Disorbio,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Assessment of biopsychosocial risk factors for medical treatment: a collaborative approach. </w:t>
            </w:r>
            <w:r>
              <w:rPr>
                <w:rFonts w:ascii="Arial" w:hAnsi="Arial" w:cs="Arial"/>
                <w:sz w:val="24"/>
                <w:szCs w:val="24"/>
              </w:rPr>
              <w:t>Journal of Clinical Psychology in Medical Settings, 2009. 16(2): p. 127-147.</w:t>
            </w:r>
          </w:p>
          <w:p w14:paraId="0A58CBC5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91CF1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edition:</w:t>
            </w:r>
          </w:p>
          <w:p w14:paraId="46884AE4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D8781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 Bruns, Daniela, Diorbio, John Mark. Assessment of biopsychosocial risk factors for medical treatment: a collaborative approach.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Journal of Clinical Psychology in Medical Settings; </w:t>
            </w:r>
            <w:r>
              <w:rPr>
                <w:rFonts w:ascii="Arial" w:hAnsi="Arial" w:cs="Arial"/>
                <w:sz w:val="24"/>
                <w:szCs w:val="24"/>
              </w:rPr>
              <w:t>2009.</w:t>
            </w:r>
          </w:p>
          <w:p w14:paraId="003FECED" w14:textId="77777777" w:rsid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4A271" w14:textId="64C9510A" w:rsidR="00B35DDE" w:rsidRPr="00B35DDE" w:rsidRDefault="00B35DDE" w:rsidP="00C253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2B44FD2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Anonymous</w:t>
            </w:r>
          </w:p>
          <w:p w14:paraId="1A66F219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19, 2025</w:t>
            </w:r>
          </w:p>
          <w:p w14:paraId="7A627581" w14:textId="77777777" w:rsidR="00C25357" w:rsidRDefault="00C25357" w:rsidP="00C25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  <w:p w14:paraId="6598B8D8" w14:textId="77777777" w:rsidR="00C25357" w:rsidRDefault="00C25357" w:rsidP="006C01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EF8109C" w14:textId="0E7F0B02" w:rsidR="00C25357" w:rsidRPr="001A4505" w:rsidRDefault="006C676D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commenter may wish to inquire with the publisher as to the availability of versions of the guidelines or the </w:t>
            </w:r>
            <w:r w:rsidR="0065791C">
              <w:rPr>
                <w:rFonts w:ascii="Arial" w:hAnsi="Arial" w:cs="Arial"/>
                <w:sz w:val="24"/>
                <w:szCs w:val="24"/>
              </w:rPr>
              <w:t xml:space="preserve">materials relied upon by the publisher in producing the guidelines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accessibility features </w:t>
            </w:r>
            <w:r w:rsidRPr="0005159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7F739E">
              <w:rPr>
                <w:rFonts w:ascii="Arial" w:hAnsi="Arial" w:cs="Arial"/>
                <w:sz w:val="24"/>
                <w:szCs w:val="24"/>
              </w:rPr>
              <w:t>may assist the commenter in their review of the guidelines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DA1F7DA" w14:textId="0BE8973F" w:rsidR="00C25357" w:rsidRPr="001A4505" w:rsidRDefault="00051597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3461EB" w:rsidRPr="001A4505" w14:paraId="1955E10F" w14:textId="77777777" w:rsidTr="00FF4540">
        <w:trPr>
          <w:trHeight w:val="20"/>
        </w:trPr>
        <w:tc>
          <w:tcPr>
            <w:tcW w:w="2088" w:type="dxa"/>
          </w:tcPr>
          <w:p w14:paraId="26EAD981" w14:textId="20F298F4" w:rsidR="003461EB" w:rsidRDefault="003461EB" w:rsidP="003461EB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Treatment Guideline Scientific Studies</w:t>
            </w:r>
          </w:p>
        </w:tc>
        <w:tc>
          <w:tcPr>
            <w:tcW w:w="3960" w:type="dxa"/>
          </w:tcPr>
          <w:p w14:paraId="1AA701C2" w14:textId="054B81AF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notes that</w:t>
            </w:r>
            <w:r w:rsidRPr="00C95BFB">
              <w:rPr>
                <w:rFonts w:ascii="Arial" w:hAnsi="Arial" w:cs="Arial"/>
                <w:sz w:val="24"/>
                <w:szCs w:val="24"/>
              </w:rPr>
              <w:t>. the regulations specify MTUS treatment guidelines incorporate recommendations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supported by the best available. up-to-date scientific studies. </w:t>
            </w:r>
            <w:r>
              <w:rPr>
                <w:rFonts w:ascii="Arial" w:hAnsi="Arial" w:cs="Arial"/>
                <w:sz w:val="24"/>
                <w:szCs w:val="24"/>
              </w:rPr>
              <w:t>Commenter opines that i</w:t>
            </w:r>
            <w:r w:rsidRPr="00C95BFB">
              <w:rPr>
                <w:rFonts w:ascii="Arial" w:hAnsi="Arial" w:cs="Arial"/>
                <w:sz w:val="24"/>
                <w:szCs w:val="24"/>
              </w:rPr>
              <w:t>t is bewildering that 1)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publications </w:t>
            </w: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 2019 and 2020 were cited at all, 2) only 35% of the publications were 10</w:t>
            </w:r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ears old while 65% </w:t>
            </w:r>
            <w:r>
              <w:rPr>
                <w:rFonts w:ascii="Arial" w:hAnsi="Arial" w:cs="Arial"/>
                <w:sz w:val="24"/>
                <w:szCs w:val="24"/>
              </w:rPr>
              <w:t>were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 much older, 3) the duplications (16, 72) of one publication were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BFB">
              <w:rPr>
                <w:rFonts w:ascii="Arial" w:hAnsi="Arial" w:cs="Arial"/>
                <w:sz w:val="24"/>
                <w:szCs w:val="24"/>
              </w:rPr>
              <w:t xml:space="preserve">not corrected </w:t>
            </w:r>
            <w:r w:rsidRPr="00C95BFB">
              <w:rPr>
                <w:rFonts w:ascii="Arial" w:hAnsi="Arial" w:cs="Arial"/>
                <w:sz w:val="24"/>
                <w:szCs w:val="24"/>
              </w:rPr>
              <w:lastRenderedPageBreak/>
              <w:t>since 2019 edition, 4) one typo was found in one publication (63), and 5)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C95BFB">
              <w:rPr>
                <w:rFonts w:ascii="Arial" w:hAnsi="Arial" w:cs="Arial"/>
                <w:sz w:val="24"/>
                <w:szCs w:val="24"/>
              </w:rPr>
              <w:t>ncorrect year was reported (31 ), and 6) no publication from 2025 was included.</w:t>
            </w:r>
          </w:p>
        </w:tc>
        <w:tc>
          <w:tcPr>
            <w:tcW w:w="2340" w:type="dxa"/>
          </w:tcPr>
          <w:p w14:paraId="0EA7C728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Anonymous</w:t>
            </w:r>
          </w:p>
          <w:p w14:paraId="559000AD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19, 2025</w:t>
            </w:r>
          </w:p>
          <w:p w14:paraId="1076E111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  <w:p w14:paraId="13FB256E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4D7980C" w14:textId="1333EF4C" w:rsidR="003461EB" w:rsidRPr="001A4505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Outside the scope of this update. CCR title 8 Section 9792.21 provides that the presumption of correctness can be rebutted.</w:t>
            </w:r>
          </w:p>
        </w:tc>
        <w:tc>
          <w:tcPr>
            <w:tcW w:w="2325" w:type="dxa"/>
          </w:tcPr>
          <w:p w14:paraId="7DF0C8D7" w14:textId="0A68DF09" w:rsidR="003461EB" w:rsidRPr="001A4505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3461EB" w:rsidRPr="001A4505" w14:paraId="2FE5706D" w14:textId="77777777" w:rsidTr="00FF4540">
        <w:trPr>
          <w:trHeight w:val="20"/>
        </w:trPr>
        <w:tc>
          <w:tcPr>
            <w:tcW w:w="2088" w:type="dxa"/>
          </w:tcPr>
          <w:p w14:paraId="459469A3" w14:textId="34C2BC77" w:rsidR="003461EB" w:rsidRDefault="003461EB" w:rsidP="003461EB">
            <w:pPr>
              <w:tabs>
                <w:tab w:val="center" w:pos="9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Treatments Limits</w:t>
            </w:r>
          </w:p>
        </w:tc>
        <w:tc>
          <w:tcPr>
            <w:tcW w:w="3960" w:type="dxa"/>
          </w:tcPr>
          <w:p w14:paraId="35A7503E" w14:textId="4158FF43" w:rsidR="003461EB" w:rsidRPr="00C94D97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Commenter notes that the 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ACOEM guidelines sometimes </w:t>
            </w:r>
            <w:r>
              <w:rPr>
                <w:rFonts w:ascii="Arial" w:hAnsi="Arial" w:cs="Arial"/>
                <w:sz w:val="24"/>
                <w:szCs w:val="24"/>
              </w:rPr>
              <w:t>recommend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 a limit of the number of treatments without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substantiating the statement by referencing any peer-reviewed journal articles or any</w:t>
            </w:r>
          </w:p>
          <w:p w14:paraId="01864DE9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 w:rsidRPr="00C94D97">
              <w:rPr>
                <w:rFonts w:ascii="Arial" w:hAnsi="Arial" w:cs="Arial"/>
                <w:sz w:val="24"/>
                <w:szCs w:val="24"/>
              </w:rPr>
              <w:t xml:space="preserve">other credible publications. </w:t>
            </w:r>
          </w:p>
          <w:p w14:paraId="5A7C0228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E4504" w14:textId="1867A044" w:rsidR="003461EB" w:rsidRPr="00C94D97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states that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non</w:t>
            </w:r>
            <w:r w:rsidRPr="00C94D97">
              <w:rPr>
                <w:rFonts w:ascii="Arial" w:hAnsi="Arial" w:cs="Arial"/>
                <w:sz w:val="24"/>
                <w:szCs w:val="24"/>
              </w:rPr>
              <w:t>-evidence-based descriptions are frequently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used to justify </w:t>
            </w:r>
            <w:r>
              <w:rPr>
                <w:rFonts w:ascii="Arial" w:hAnsi="Arial" w:cs="Arial"/>
                <w:sz w:val="24"/>
                <w:szCs w:val="24"/>
              </w:rPr>
              <w:t>the denial of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 medically necessary treatments to injured workers. The CCR title</w:t>
            </w:r>
          </w:p>
          <w:p w14:paraId="57F0D33A" w14:textId="087DF9DC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 w:rsidRPr="00C94D97">
              <w:rPr>
                <w:rFonts w:ascii="Arial" w:hAnsi="Arial" w:cs="Arial"/>
                <w:sz w:val="24"/>
                <w:szCs w:val="24"/>
              </w:rPr>
              <w:t>8 Section 9792 .21(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94D97">
              <w:rPr>
                <w:rFonts w:ascii="Arial" w:hAnsi="Arial" w:cs="Arial"/>
                <w:sz w:val="24"/>
                <w:szCs w:val="24"/>
              </w:rPr>
              <w:t>) states, "The recommended guidelines set forth in the MTU S 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presumptively correct on the issue of extent and scope of medical treatment." </w:t>
            </w:r>
          </w:p>
          <w:p w14:paraId="6CDC60F7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D37AE" w14:textId="3B7FADB7" w:rsidR="003461EB" w:rsidRPr="00C94D97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Commenter opines that </w:t>
            </w:r>
            <w:r w:rsidRPr="00C94D97">
              <w:rPr>
                <w:rFonts w:ascii="Arial" w:hAnsi="Arial" w:cs="Arial"/>
                <w:sz w:val="24"/>
                <w:szCs w:val="24"/>
              </w:rPr>
              <w:t>If this is</w:t>
            </w:r>
          </w:p>
          <w:p w14:paraId="56F36DAA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 w:rsidRPr="00C94D97">
              <w:rPr>
                <w:rFonts w:ascii="Arial" w:hAnsi="Arial" w:cs="Arial"/>
                <w:sz w:val="24"/>
                <w:szCs w:val="24"/>
              </w:rPr>
              <w:t>the true intent of the regulations and pertinent labor codes, ACOEM guidelines, although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better than ODG guidelines to some extent, should not be used due to issues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about validity (RAND 2005).</w:t>
            </w:r>
          </w:p>
          <w:p w14:paraId="79B62756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55BDE" w14:textId="25361FE0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Commenter notes that </w:t>
            </w:r>
            <w:r w:rsidRPr="00C94D97">
              <w:rPr>
                <w:rFonts w:ascii="Arial" w:hAnsi="Arial" w:cs="Arial"/>
                <w:sz w:val="24"/>
                <w:szCs w:val="24"/>
              </w:rPr>
              <w:t>RAND (2005) stated they are not confident that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ACOEM guideline is valid for nonsurgical topics. Some RAN D's panelists expressed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 xml:space="preserve">concerns, for instance~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94D97">
              <w:rPr>
                <w:rFonts w:ascii="Arial" w:hAnsi="Arial" w:cs="Arial"/>
                <w:sz w:val="24"/>
                <w:szCs w:val="24"/>
              </w:rPr>
              <w:t>five selected guidelines (including ACOEM) are not as valid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as everyone would want in a perfect world", "They do not meet or exceed standards;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they barely meet standards.", and "California could do a lot better by starting 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4D97">
              <w:rPr>
                <w:rFonts w:ascii="Arial" w:hAnsi="Arial" w:cs="Arial"/>
                <w:sz w:val="24"/>
                <w:szCs w:val="24"/>
              </w:rPr>
              <w:t>scratch."</w:t>
            </w:r>
          </w:p>
        </w:tc>
        <w:tc>
          <w:tcPr>
            <w:tcW w:w="2340" w:type="dxa"/>
          </w:tcPr>
          <w:p w14:paraId="07B1E0D4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Anonymous</w:t>
            </w:r>
          </w:p>
          <w:p w14:paraId="4E0AD8C1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19, 2025</w:t>
            </w:r>
          </w:p>
          <w:p w14:paraId="112A3AFF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  <w:p w14:paraId="07C242B2" w14:textId="77777777" w:rsidR="003461EB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285617C" w14:textId="48771739" w:rsidR="003461EB" w:rsidRPr="001A4505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Outside the scope of this update. CCR title 8 Section 9792.21 provides that the presumption of correctness can be rebutted.</w:t>
            </w:r>
          </w:p>
        </w:tc>
        <w:tc>
          <w:tcPr>
            <w:tcW w:w="2325" w:type="dxa"/>
          </w:tcPr>
          <w:p w14:paraId="11F99C14" w14:textId="7809099D" w:rsidR="003461EB" w:rsidRPr="001A4505" w:rsidRDefault="003461EB" w:rsidP="0034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</w:tbl>
    <w:p w14:paraId="2F594AB3" w14:textId="77777777" w:rsidR="00A20565" w:rsidRPr="001A4505" w:rsidRDefault="00A20565" w:rsidP="000A60E1">
      <w:pPr>
        <w:rPr>
          <w:rFonts w:ascii="Arial" w:hAnsi="Arial" w:cs="Arial"/>
          <w:sz w:val="24"/>
          <w:szCs w:val="24"/>
        </w:rPr>
      </w:pPr>
    </w:p>
    <w:sectPr w:rsidR="00A20565" w:rsidRPr="001A4505" w:rsidSect="009A4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6BF4" w14:textId="77777777" w:rsidR="001471A8" w:rsidRDefault="001471A8">
      <w:r>
        <w:separator/>
      </w:r>
    </w:p>
  </w:endnote>
  <w:endnote w:type="continuationSeparator" w:id="0">
    <w:p w14:paraId="0EC6B6C3" w14:textId="77777777" w:rsidR="001471A8" w:rsidRDefault="001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1C01" w14:textId="77777777" w:rsidR="00B35DDE" w:rsidRDefault="00B35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D5A3" w14:textId="77777777" w:rsidR="009D5B75" w:rsidRDefault="009D5B75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F3050">
      <w:rPr>
        <w:noProof/>
      </w:rPr>
      <w:t>9</w:t>
    </w:r>
    <w:r>
      <w:fldChar w:fldCharType="end"/>
    </w:r>
    <w:r>
      <w:t xml:space="preserve"> of </w:t>
    </w:r>
    <w:fldSimple w:instr=" NUMPAGES ">
      <w:r w:rsidR="005F3050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B4B1" w14:textId="77777777" w:rsidR="00B35DDE" w:rsidRDefault="00B3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48C8" w14:textId="77777777" w:rsidR="001471A8" w:rsidRDefault="001471A8">
      <w:r>
        <w:separator/>
      </w:r>
    </w:p>
  </w:footnote>
  <w:footnote w:type="continuationSeparator" w:id="0">
    <w:p w14:paraId="1CE3709D" w14:textId="77777777" w:rsidR="001471A8" w:rsidRDefault="0014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A0CA" w14:textId="77777777" w:rsidR="00B35DDE" w:rsidRDefault="00B35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405B" w14:textId="77777777" w:rsidR="00B35DDE" w:rsidRDefault="00B35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B3A2" w14:textId="77777777" w:rsidR="00B35DDE" w:rsidRDefault="00B35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CB3B7"/>
    <w:multiLevelType w:val="hybridMultilevel"/>
    <w:tmpl w:val="6E7306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2E254A"/>
    <w:multiLevelType w:val="hybridMultilevel"/>
    <w:tmpl w:val="A58E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315A"/>
    <w:multiLevelType w:val="hybridMultilevel"/>
    <w:tmpl w:val="06BC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B6A"/>
    <w:multiLevelType w:val="hybridMultilevel"/>
    <w:tmpl w:val="4126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33AFE"/>
    <w:multiLevelType w:val="hybridMultilevel"/>
    <w:tmpl w:val="E476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96A22"/>
    <w:multiLevelType w:val="hybridMultilevel"/>
    <w:tmpl w:val="19EE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08A5E"/>
    <w:multiLevelType w:val="hybridMultilevel"/>
    <w:tmpl w:val="797A0B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2DF1A74"/>
    <w:multiLevelType w:val="hybridMultilevel"/>
    <w:tmpl w:val="1D4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6BCB"/>
    <w:multiLevelType w:val="hybridMultilevel"/>
    <w:tmpl w:val="899E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72B51"/>
    <w:multiLevelType w:val="hybridMultilevel"/>
    <w:tmpl w:val="FF34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6094"/>
    <w:multiLevelType w:val="hybridMultilevel"/>
    <w:tmpl w:val="5BE0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3BD3F"/>
    <w:multiLevelType w:val="hybridMultilevel"/>
    <w:tmpl w:val="362385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62796">
    <w:abstractNumId w:val="2"/>
  </w:num>
  <w:num w:numId="2" w16cid:durableId="442767681">
    <w:abstractNumId w:val="18"/>
  </w:num>
  <w:num w:numId="3" w16cid:durableId="2104064044">
    <w:abstractNumId w:val="1"/>
  </w:num>
  <w:num w:numId="4" w16cid:durableId="2051805896">
    <w:abstractNumId w:val="7"/>
  </w:num>
  <w:num w:numId="5" w16cid:durableId="1187593929">
    <w:abstractNumId w:val="20"/>
  </w:num>
  <w:num w:numId="6" w16cid:durableId="1894776992">
    <w:abstractNumId w:val="14"/>
  </w:num>
  <w:num w:numId="7" w16cid:durableId="744307102">
    <w:abstractNumId w:val="17"/>
  </w:num>
  <w:num w:numId="8" w16cid:durableId="806625285">
    <w:abstractNumId w:val="23"/>
  </w:num>
  <w:num w:numId="9" w16cid:durableId="283118216">
    <w:abstractNumId w:val="19"/>
  </w:num>
  <w:num w:numId="10" w16cid:durableId="652951206">
    <w:abstractNumId w:val="9"/>
  </w:num>
  <w:num w:numId="11" w16cid:durableId="664361621">
    <w:abstractNumId w:val="21"/>
  </w:num>
  <w:num w:numId="12" w16cid:durableId="1435900969">
    <w:abstractNumId w:val="5"/>
  </w:num>
  <w:num w:numId="13" w16cid:durableId="125124218">
    <w:abstractNumId w:val="16"/>
  </w:num>
  <w:num w:numId="14" w16cid:durableId="399982838">
    <w:abstractNumId w:val="4"/>
  </w:num>
  <w:num w:numId="15" w16cid:durableId="1317496731">
    <w:abstractNumId w:val="22"/>
  </w:num>
  <w:num w:numId="16" w16cid:durableId="91825313">
    <w:abstractNumId w:val="8"/>
  </w:num>
  <w:num w:numId="17" w16cid:durableId="1533881912">
    <w:abstractNumId w:val="11"/>
  </w:num>
  <w:num w:numId="18" w16cid:durableId="1419519678">
    <w:abstractNumId w:val="13"/>
  </w:num>
  <w:num w:numId="19" w16cid:durableId="2082170526">
    <w:abstractNumId w:val="0"/>
  </w:num>
  <w:num w:numId="20" w16cid:durableId="108207465">
    <w:abstractNumId w:val="12"/>
  </w:num>
  <w:num w:numId="21" w16cid:durableId="94788179">
    <w:abstractNumId w:val="15"/>
  </w:num>
  <w:num w:numId="22" w16cid:durableId="1922130767">
    <w:abstractNumId w:val="6"/>
  </w:num>
  <w:num w:numId="23" w16cid:durableId="938754143">
    <w:abstractNumId w:val="10"/>
  </w:num>
  <w:num w:numId="24" w16cid:durableId="50759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5"/>
    <w:rsid w:val="00000370"/>
    <w:rsid w:val="00002744"/>
    <w:rsid w:val="00004D9F"/>
    <w:rsid w:val="00005622"/>
    <w:rsid w:val="00006C02"/>
    <w:rsid w:val="000115C5"/>
    <w:rsid w:val="00020D77"/>
    <w:rsid w:val="00020F42"/>
    <w:rsid w:val="00021190"/>
    <w:rsid w:val="00021AF4"/>
    <w:rsid w:val="00023E9B"/>
    <w:rsid w:val="00026B11"/>
    <w:rsid w:val="00026DB9"/>
    <w:rsid w:val="0002796C"/>
    <w:rsid w:val="00027CAE"/>
    <w:rsid w:val="000302CB"/>
    <w:rsid w:val="00030488"/>
    <w:rsid w:val="00031DA6"/>
    <w:rsid w:val="0003481D"/>
    <w:rsid w:val="00034AB2"/>
    <w:rsid w:val="00037707"/>
    <w:rsid w:val="00037FCF"/>
    <w:rsid w:val="00040B65"/>
    <w:rsid w:val="00046261"/>
    <w:rsid w:val="00051597"/>
    <w:rsid w:val="00051BD3"/>
    <w:rsid w:val="00052D0F"/>
    <w:rsid w:val="00053FA2"/>
    <w:rsid w:val="000548C2"/>
    <w:rsid w:val="0006376D"/>
    <w:rsid w:val="000644E1"/>
    <w:rsid w:val="00064C06"/>
    <w:rsid w:val="0006500A"/>
    <w:rsid w:val="00065FDE"/>
    <w:rsid w:val="00070DD2"/>
    <w:rsid w:val="0007127E"/>
    <w:rsid w:val="00071700"/>
    <w:rsid w:val="00072DCB"/>
    <w:rsid w:val="00073C7B"/>
    <w:rsid w:val="0007483E"/>
    <w:rsid w:val="0007793E"/>
    <w:rsid w:val="00077C0F"/>
    <w:rsid w:val="00085B61"/>
    <w:rsid w:val="0009000D"/>
    <w:rsid w:val="00091D52"/>
    <w:rsid w:val="000921EE"/>
    <w:rsid w:val="00092E98"/>
    <w:rsid w:val="00094D0C"/>
    <w:rsid w:val="000A0702"/>
    <w:rsid w:val="000A38EE"/>
    <w:rsid w:val="000A4034"/>
    <w:rsid w:val="000A60E1"/>
    <w:rsid w:val="000B1F1E"/>
    <w:rsid w:val="000B6695"/>
    <w:rsid w:val="000C50F7"/>
    <w:rsid w:val="000C79FE"/>
    <w:rsid w:val="000D169E"/>
    <w:rsid w:val="000D3E0C"/>
    <w:rsid w:val="000E2318"/>
    <w:rsid w:val="000E3124"/>
    <w:rsid w:val="000E4D5F"/>
    <w:rsid w:val="000E5432"/>
    <w:rsid w:val="000E5B03"/>
    <w:rsid w:val="000F0474"/>
    <w:rsid w:val="000F2477"/>
    <w:rsid w:val="00103A40"/>
    <w:rsid w:val="00104391"/>
    <w:rsid w:val="00105C7D"/>
    <w:rsid w:val="0010669C"/>
    <w:rsid w:val="0011032B"/>
    <w:rsid w:val="00110CBA"/>
    <w:rsid w:val="001110E7"/>
    <w:rsid w:val="001162E0"/>
    <w:rsid w:val="00122ED3"/>
    <w:rsid w:val="00123A88"/>
    <w:rsid w:val="00131FFC"/>
    <w:rsid w:val="00142FED"/>
    <w:rsid w:val="0014319E"/>
    <w:rsid w:val="00144E7E"/>
    <w:rsid w:val="00146329"/>
    <w:rsid w:val="001471A8"/>
    <w:rsid w:val="00151E53"/>
    <w:rsid w:val="001538B5"/>
    <w:rsid w:val="00157798"/>
    <w:rsid w:val="00157974"/>
    <w:rsid w:val="00164340"/>
    <w:rsid w:val="00171522"/>
    <w:rsid w:val="001715F5"/>
    <w:rsid w:val="00173A47"/>
    <w:rsid w:val="001745D3"/>
    <w:rsid w:val="0018044C"/>
    <w:rsid w:val="00180538"/>
    <w:rsid w:val="00190583"/>
    <w:rsid w:val="00190769"/>
    <w:rsid w:val="001916EA"/>
    <w:rsid w:val="00191CDC"/>
    <w:rsid w:val="00192637"/>
    <w:rsid w:val="00192F3B"/>
    <w:rsid w:val="001952F3"/>
    <w:rsid w:val="00196D1E"/>
    <w:rsid w:val="001975A8"/>
    <w:rsid w:val="001A0547"/>
    <w:rsid w:val="001A4505"/>
    <w:rsid w:val="001A7F28"/>
    <w:rsid w:val="001B2250"/>
    <w:rsid w:val="001B59A7"/>
    <w:rsid w:val="001B69BA"/>
    <w:rsid w:val="001B7D84"/>
    <w:rsid w:val="001C1281"/>
    <w:rsid w:val="001C6BD2"/>
    <w:rsid w:val="001C716B"/>
    <w:rsid w:val="001D3239"/>
    <w:rsid w:val="001E626D"/>
    <w:rsid w:val="001E6F12"/>
    <w:rsid w:val="001F0C19"/>
    <w:rsid w:val="001F1C34"/>
    <w:rsid w:val="001F2056"/>
    <w:rsid w:val="001F3A21"/>
    <w:rsid w:val="001F64F5"/>
    <w:rsid w:val="001F6752"/>
    <w:rsid w:val="001F7C01"/>
    <w:rsid w:val="00203EE0"/>
    <w:rsid w:val="00206F39"/>
    <w:rsid w:val="002079E2"/>
    <w:rsid w:val="002106BF"/>
    <w:rsid w:val="00220833"/>
    <w:rsid w:val="00220A5B"/>
    <w:rsid w:val="00221194"/>
    <w:rsid w:val="00221307"/>
    <w:rsid w:val="00227584"/>
    <w:rsid w:val="0023219C"/>
    <w:rsid w:val="00241A10"/>
    <w:rsid w:val="00243317"/>
    <w:rsid w:val="00250481"/>
    <w:rsid w:val="00251FD9"/>
    <w:rsid w:val="002524CB"/>
    <w:rsid w:val="002535D7"/>
    <w:rsid w:val="00257ED1"/>
    <w:rsid w:val="00260E84"/>
    <w:rsid w:val="00261B4F"/>
    <w:rsid w:val="00263084"/>
    <w:rsid w:val="002645F7"/>
    <w:rsid w:val="002654EA"/>
    <w:rsid w:val="00265EE1"/>
    <w:rsid w:val="00270613"/>
    <w:rsid w:val="00270C95"/>
    <w:rsid w:val="00271E80"/>
    <w:rsid w:val="0027416D"/>
    <w:rsid w:val="002765EF"/>
    <w:rsid w:val="002805AB"/>
    <w:rsid w:val="00281D6A"/>
    <w:rsid w:val="00286DD1"/>
    <w:rsid w:val="002875FC"/>
    <w:rsid w:val="00296485"/>
    <w:rsid w:val="00296E42"/>
    <w:rsid w:val="002A0AA9"/>
    <w:rsid w:val="002A1FC3"/>
    <w:rsid w:val="002A6202"/>
    <w:rsid w:val="002B0010"/>
    <w:rsid w:val="002B5C0E"/>
    <w:rsid w:val="002B6B78"/>
    <w:rsid w:val="002C058F"/>
    <w:rsid w:val="002C1116"/>
    <w:rsid w:val="002C2391"/>
    <w:rsid w:val="002C58F5"/>
    <w:rsid w:val="002D55A7"/>
    <w:rsid w:val="002D646A"/>
    <w:rsid w:val="002E16E1"/>
    <w:rsid w:val="002E1ED0"/>
    <w:rsid w:val="002E209F"/>
    <w:rsid w:val="002E2B6A"/>
    <w:rsid w:val="002E2E50"/>
    <w:rsid w:val="002E5D52"/>
    <w:rsid w:val="002F1C58"/>
    <w:rsid w:val="002F3981"/>
    <w:rsid w:val="0031661D"/>
    <w:rsid w:val="00316777"/>
    <w:rsid w:val="00317253"/>
    <w:rsid w:val="003308D7"/>
    <w:rsid w:val="00332C68"/>
    <w:rsid w:val="00332EF7"/>
    <w:rsid w:val="0033568E"/>
    <w:rsid w:val="00341D33"/>
    <w:rsid w:val="00342614"/>
    <w:rsid w:val="00343E22"/>
    <w:rsid w:val="003442BF"/>
    <w:rsid w:val="003461EB"/>
    <w:rsid w:val="003468AE"/>
    <w:rsid w:val="00346E21"/>
    <w:rsid w:val="00347DD6"/>
    <w:rsid w:val="00363012"/>
    <w:rsid w:val="003647A8"/>
    <w:rsid w:val="00365C25"/>
    <w:rsid w:val="00367829"/>
    <w:rsid w:val="0037060E"/>
    <w:rsid w:val="0037314E"/>
    <w:rsid w:val="00373440"/>
    <w:rsid w:val="00373D3A"/>
    <w:rsid w:val="00373F55"/>
    <w:rsid w:val="0037490F"/>
    <w:rsid w:val="00374D35"/>
    <w:rsid w:val="003765C8"/>
    <w:rsid w:val="00376AB4"/>
    <w:rsid w:val="00377C7F"/>
    <w:rsid w:val="00381D12"/>
    <w:rsid w:val="00385060"/>
    <w:rsid w:val="00397D46"/>
    <w:rsid w:val="003A3746"/>
    <w:rsid w:val="003B1F9A"/>
    <w:rsid w:val="003B338C"/>
    <w:rsid w:val="003B371D"/>
    <w:rsid w:val="003B5F24"/>
    <w:rsid w:val="003C14FD"/>
    <w:rsid w:val="003C1969"/>
    <w:rsid w:val="003D227B"/>
    <w:rsid w:val="003E2198"/>
    <w:rsid w:val="003E21DC"/>
    <w:rsid w:val="003E37FB"/>
    <w:rsid w:val="003E3E74"/>
    <w:rsid w:val="003E7DA3"/>
    <w:rsid w:val="003F054C"/>
    <w:rsid w:val="003F1DAB"/>
    <w:rsid w:val="003F6D92"/>
    <w:rsid w:val="00400FB7"/>
    <w:rsid w:val="0040370A"/>
    <w:rsid w:val="00404D70"/>
    <w:rsid w:val="00413DB2"/>
    <w:rsid w:val="0041589F"/>
    <w:rsid w:val="00417FE9"/>
    <w:rsid w:val="00424493"/>
    <w:rsid w:val="00424594"/>
    <w:rsid w:val="00425E51"/>
    <w:rsid w:val="004322B0"/>
    <w:rsid w:val="00432535"/>
    <w:rsid w:val="004336AB"/>
    <w:rsid w:val="00435384"/>
    <w:rsid w:val="00435456"/>
    <w:rsid w:val="00441295"/>
    <w:rsid w:val="004421E8"/>
    <w:rsid w:val="004428CA"/>
    <w:rsid w:val="00445DE1"/>
    <w:rsid w:val="00447878"/>
    <w:rsid w:val="00451321"/>
    <w:rsid w:val="00451C9B"/>
    <w:rsid w:val="004529A7"/>
    <w:rsid w:val="004542A4"/>
    <w:rsid w:val="004549A7"/>
    <w:rsid w:val="00454BF6"/>
    <w:rsid w:val="00455B5E"/>
    <w:rsid w:val="0045749C"/>
    <w:rsid w:val="00462950"/>
    <w:rsid w:val="00463864"/>
    <w:rsid w:val="00473228"/>
    <w:rsid w:val="004808EA"/>
    <w:rsid w:val="0048312B"/>
    <w:rsid w:val="004855D9"/>
    <w:rsid w:val="00486F4C"/>
    <w:rsid w:val="004937A9"/>
    <w:rsid w:val="00495355"/>
    <w:rsid w:val="00496B20"/>
    <w:rsid w:val="00497BFA"/>
    <w:rsid w:val="004A4B7B"/>
    <w:rsid w:val="004A647F"/>
    <w:rsid w:val="004B4CEF"/>
    <w:rsid w:val="004B5D8D"/>
    <w:rsid w:val="004B5DD5"/>
    <w:rsid w:val="004C69CF"/>
    <w:rsid w:val="004D2A82"/>
    <w:rsid w:val="004D5B92"/>
    <w:rsid w:val="004E2BB2"/>
    <w:rsid w:val="004E4292"/>
    <w:rsid w:val="004E7DF7"/>
    <w:rsid w:val="004F03F0"/>
    <w:rsid w:val="004F520A"/>
    <w:rsid w:val="004F5ECD"/>
    <w:rsid w:val="005118B5"/>
    <w:rsid w:val="00515C8B"/>
    <w:rsid w:val="0051729A"/>
    <w:rsid w:val="005257B8"/>
    <w:rsid w:val="005259B6"/>
    <w:rsid w:val="00531B93"/>
    <w:rsid w:val="00542E5A"/>
    <w:rsid w:val="00543268"/>
    <w:rsid w:val="0054561C"/>
    <w:rsid w:val="00566B81"/>
    <w:rsid w:val="00572A28"/>
    <w:rsid w:val="00584639"/>
    <w:rsid w:val="00587DCF"/>
    <w:rsid w:val="005904FF"/>
    <w:rsid w:val="005946BE"/>
    <w:rsid w:val="005956E9"/>
    <w:rsid w:val="005A56F7"/>
    <w:rsid w:val="005A5CE7"/>
    <w:rsid w:val="005B46F7"/>
    <w:rsid w:val="005B5322"/>
    <w:rsid w:val="005B59D5"/>
    <w:rsid w:val="005B7B6B"/>
    <w:rsid w:val="005C6BED"/>
    <w:rsid w:val="005D47FA"/>
    <w:rsid w:val="005D4A3C"/>
    <w:rsid w:val="005D5D58"/>
    <w:rsid w:val="005E1385"/>
    <w:rsid w:val="005E30CA"/>
    <w:rsid w:val="005E34F4"/>
    <w:rsid w:val="005F3050"/>
    <w:rsid w:val="005F34E4"/>
    <w:rsid w:val="005F72F9"/>
    <w:rsid w:val="00601222"/>
    <w:rsid w:val="0060452D"/>
    <w:rsid w:val="00604682"/>
    <w:rsid w:val="00606751"/>
    <w:rsid w:val="006075F5"/>
    <w:rsid w:val="0060761A"/>
    <w:rsid w:val="00610087"/>
    <w:rsid w:val="0061126E"/>
    <w:rsid w:val="00611CF5"/>
    <w:rsid w:val="006123E5"/>
    <w:rsid w:val="00612A78"/>
    <w:rsid w:val="00613AA1"/>
    <w:rsid w:val="0061704F"/>
    <w:rsid w:val="006177CD"/>
    <w:rsid w:val="0062209F"/>
    <w:rsid w:val="00622A8E"/>
    <w:rsid w:val="00622CFC"/>
    <w:rsid w:val="00623906"/>
    <w:rsid w:val="006318B0"/>
    <w:rsid w:val="00634C5B"/>
    <w:rsid w:val="006350AA"/>
    <w:rsid w:val="00635C83"/>
    <w:rsid w:val="00636473"/>
    <w:rsid w:val="00637568"/>
    <w:rsid w:val="00640148"/>
    <w:rsid w:val="00642176"/>
    <w:rsid w:val="00643F54"/>
    <w:rsid w:val="006441E3"/>
    <w:rsid w:val="00645C64"/>
    <w:rsid w:val="00645DD4"/>
    <w:rsid w:val="00646476"/>
    <w:rsid w:val="006468B4"/>
    <w:rsid w:val="00647713"/>
    <w:rsid w:val="00654202"/>
    <w:rsid w:val="0065791C"/>
    <w:rsid w:val="006704A7"/>
    <w:rsid w:val="00671F79"/>
    <w:rsid w:val="006739F4"/>
    <w:rsid w:val="00675316"/>
    <w:rsid w:val="00677321"/>
    <w:rsid w:val="0068167B"/>
    <w:rsid w:val="0068339A"/>
    <w:rsid w:val="006922D4"/>
    <w:rsid w:val="00694ED4"/>
    <w:rsid w:val="00697ED4"/>
    <w:rsid w:val="006A3134"/>
    <w:rsid w:val="006A3BA7"/>
    <w:rsid w:val="006A4181"/>
    <w:rsid w:val="006A4E21"/>
    <w:rsid w:val="006B46F0"/>
    <w:rsid w:val="006B5C06"/>
    <w:rsid w:val="006B79C4"/>
    <w:rsid w:val="006C01E5"/>
    <w:rsid w:val="006C1E63"/>
    <w:rsid w:val="006C27FD"/>
    <w:rsid w:val="006C4C72"/>
    <w:rsid w:val="006C676D"/>
    <w:rsid w:val="006C7DA9"/>
    <w:rsid w:val="006D0585"/>
    <w:rsid w:val="006D193A"/>
    <w:rsid w:val="006D4CD8"/>
    <w:rsid w:val="006D7C4D"/>
    <w:rsid w:val="006E28F6"/>
    <w:rsid w:val="006E77C0"/>
    <w:rsid w:val="006F1C36"/>
    <w:rsid w:val="006F26CB"/>
    <w:rsid w:val="006F38FF"/>
    <w:rsid w:val="00700172"/>
    <w:rsid w:val="00701686"/>
    <w:rsid w:val="00703AA2"/>
    <w:rsid w:val="00705CF7"/>
    <w:rsid w:val="0070752A"/>
    <w:rsid w:val="007076BB"/>
    <w:rsid w:val="00716A81"/>
    <w:rsid w:val="00717A4E"/>
    <w:rsid w:val="00722898"/>
    <w:rsid w:val="007243BA"/>
    <w:rsid w:val="00725F88"/>
    <w:rsid w:val="00731DED"/>
    <w:rsid w:val="007340FF"/>
    <w:rsid w:val="007423B9"/>
    <w:rsid w:val="00742533"/>
    <w:rsid w:val="00744AE6"/>
    <w:rsid w:val="00750D49"/>
    <w:rsid w:val="007510F6"/>
    <w:rsid w:val="00751A04"/>
    <w:rsid w:val="00752576"/>
    <w:rsid w:val="00757A91"/>
    <w:rsid w:val="00761F10"/>
    <w:rsid w:val="007634B0"/>
    <w:rsid w:val="00764183"/>
    <w:rsid w:val="0076424D"/>
    <w:rsid w:val="00765B72"/>
    <w:rsid w:val="00766355"/>
    <w:rsid w:val="00775BE8"/>
    <w:rsid w:val="00783584"/>
    <w:rsid w:val="00783F26"/>
    <w:rsid w:val="00787FE7"/>
    <w:rsid w:val="00793533"/>
    <w:rsid w:val="00794277"/>
    <w:rsid w:val="007971DA"/>
    <w:rsid w:val="007A0F03"/>
    <w:rsid w:val="007A2068"/>
    <w:rsid w:val="007A42C7"/>
    <w:rsid w:val="007A4F9C"/>
    <w:rsid w:val="007A545C"/>
    <w:rsid w:val="007A6055"/>
    <w:rsid w:val="007A73B3"/>
    <w:rsid w:val="007B361B"/>
    <w:rsid w:val="007B3C61"/>
    <w:rsid w:val="007C073C"/>
    <w:rsid w:val="007C0829"/>
    <w:rsid w:val="007C1ADA"/>
    <w:rsid w:val="007C52D7"/>
    <w:rsid w:val="007D0FEA"/>
    <w:rsid w:val="007D2AD1"/>
    <w:rsid w:val="007D315F"/>
    <w:rsid w:val="007D6EFB"/>
    <w:rsid w:val="007D7DFC"/>
    <w:rsid w:val="007E1FEC"/>
    <w:rsid w:val="007E2388"/>
    <w:rsid w:val="007E4742"/>
    <w:rsid w:val="007E55C5"/>
    <w:rsid w:val="007E7698"/>
    <w:rsid w:val="007F03CF"/>
    <w:rsid w:val="007F6760"/>
    <w:rsid w:val="007F739E"/>
    <w:rsid w:val="00802C66"/>
    <w:rsid w:val="00803AD6"/>
    <w:rsid w:val="00806AC1"/>
    <w:rsid w:val="00807B4F"/>
    <w:rsid w:val="008115BA"/>
    <w:rsid w:val="00813002"/>
    <w:rsid w:val="00824F4A"/>
    <w:rsid w:val="00825FAC"/>
    <w:rsid w:val="008321EF"/>
    <w:rsid w:val="00832C78"/>
    <w:rsid w:val="00837247"/>
    <w:rsid w:val="00841543"/>
    <w:rsid w:val="00846BCF"/>
    <w:rsid w:val="008523BE"/>
    <w:rsid w:val="00854CD6"/>
    <w:rsid w:val="0086099C"/>
    <w:rsid w:val="00861798"/>
    <w:rsid w:val="00861947"/>
    <w:rsid w:val="008628B0"/>
    <w:rsid w:val="00865764"/>
    <w:rsid w:val="00873E23"/>
    <w:rsid w:val="00874654"/>
    <w:rsid w:val="00874AFF"/>
    <w:rsid w:val="00875044"/>
    <w:rsid w:val="0087608C"/>
    <w:rsid w:val="008766BE"/>
    <w:rsid w:val="00876ABF"/>
    <w:rsid w:val="00881180"/>
    <w:rsid w:val="0088257E"/>
    <w:rsid w:val="00886609"/>
    <w:rsid w:val="0089069D"/>
    <w:rsid w:val="0089229D"/>
    <w:rsid w:val="00892D2A"/>
    <w:rsid w:val="008970E9"/>
    <w:rsid w:val="008A3689"/>
    <w:rsid w:val="008A505D"/>
    <w:rsid w:val="008A6329"/>
    <w:rsid w:val="008B008F"/>
    <w:rsid w:val="008B26AF"/>
    <w:rsid w:val="008B38F8"/>
    <w:rsid w:val="008B3C1C"/>
    <w:rsid w:val="008C2036"/>
    <w:rsid w:val="008D340D"/>
    <w:rsid w:val="008D7245"/>
    <w:rsid w:val="008D76DC"/>
    <w:rsid w:val="008E31C2"/>
    <w:rsid w:val="008F229B"/>
    <w:rsid w:val="008F2D6C"/>
    <w:rsid w:val="008F7BAC"/>
    <w:rsid w:val="008F7C12"/>
    <w:rsid w:val="00901D90"/>
    <w:rsid w:val="00901ED1"/>
    <w:rsid w:val="00902977"/>
    <w:rsid w:val="00902B21"/>
    <w:rsid w:val="00902C65"/>
    <w:rsid w:val="009137BF"/>
    <w:rsid w:val="00913971"/>
    <w:rsid w:val="0091411B"/>
    <w:rsid w:val="00915917"/>
    <w:rsid w:val="00931751"/>
    <w:rsid w:val="00940645"/>
    <w:rsid w:val="00940E9A"/>
    <w:rsid w:val="00944102"/>
    <w:rsid w:val="00952836"/>
    <w:rsid w:val="009749AB"/>
    <w:rsid w:val="00975503"/>
    <w:rsid w:val="009763BF"/>
    <w:rsid w:val="0097700F"/>
    <w:rsid w:val="00980908"/>
    <w:rsid w:val="009906E2"/>
    <w:rsid w:val="009925BC"/>
    <w:rsid w:val="00996168"/>
    <w:rsid w:val="009A3D36"/>
    <w:rsid w:val="009A48A0"/>
    <w:rsid w:val="009A58FD"/>
    <w:rsid w:val="009A7929"/>
    <w:rsid w:val="009B1C6A"/>
    <w:rsid w:val="009B328C"/>
    <w:rsid w:val="009B7741"/>
    <w:rsid w:val="009C416E"/>
    <w:rsid w:val="009C5D33"/>
    <w:rsid w:val="009D3341"/>
    <w:rsid w:val="009D4395"/>
    <w:rsid w:val="009D5093"/>
    <w:rsid w:val="009D5B75"/>
    <w:rsid w:val="009E018E"/>
    <w:rsid w:val="009E160B"/>
    <w:rsid w:val="009E317B"/>
    <w:rsid w:val="009F3173"/>
    <w:rsid w:val="009F3D95"/>
    <w:rsid w:val="009F3DBE"/>
    <w:rsid w:val="00A016E4"/>
    <w:rsid w:val="00A0606B"/>
    <w:rsid w:val="00A12252"/>
    <w:rsid w:val="00A13A1C"/>
    <w:rsid w:val="00A1612B"/>
    <w:rsid w:val="00A1691A"/>
    <w:rsid w:val="00A20565"/>
    <w:rsid w:val="00A22804"/>
    <w:rsid w:val="00A24936"/>
    <w:rsid w:val="00A269C2"/>
    <w:rsid w:val="00A3089F"/>
    <w:rsid w:val="00A31687"/>
    <w:rsid w:val="00A31A36"/>
    <w:rsid w:val="00A31EC6"/>
    <w:rsid w:val="00A32810"/>
    <w:rsid w:val="00A3371C"/>
    <w:rsid w:val="00A34666"/>
    <w:rsid w:val="00A4110F"/>
    <w:rsid w:val="00A42120"/>
    <w:rsid w:val="00A45D10"/>
    <w:rsid w:val="00A5228A"/>
    <w:rsid w:val="00A527D4"/>
    <w:rsid w:val="00A6134C"/>
    <w:rsid w:val="00A616B6"/>
    <w:rsid w:val="00A73065"/>
    <w:rsid w:val="00A7312F"/>
    <w:rsid w:val="00A73F0A"/>
    <w:rsid w:val="00A81A87"/>
    <w:rsid w:val="00A827E2"/>
    <w:rsid w:val="00A91E17"/>
    <w:rsid w:val="00A94C25"/>
    <w:rsid w:val="00A967E6"/>
    <w:rsid w:val="00AA1E18"/>
    <w:rsid w:val="00AA6704"/>
    <w:rsid w:val="00AB0F85"/>
    <w:rsid w:val="00AB1E57"/>
    <w:rsid w:val="00AB424F"/>
    <w:rsid w:val="00AB50E1"/>
    <w:rsid w:val="00AB5C4D"/>
    <w:rsid w:val="00AB6F3E"/>
    <w:rsid w:val="00AC157D"/>
    <w:rsid w:val="00AC1C53"/>
    <w:rsid w:val="00AC1F86"/>
    <w:rsid w:val="00AC2DCE"/>
    <w:rsid w:val="00AD0D2C"/>
    <w:rsid w:val="00AD31C5"/>
    <w:rsid w:val="00AD3596"/>
    <w:rsid w:val="00AD4598"/>
    <w:rsid w:val="00AD57CA"/>
    <w:rsid w:val="00AE2A5A"/>
    <w:rsid w:val="00AE40F1"/>
    <w:rsid w:val="00AF120E"/>
    <w:rsid w:val="00AF236B"/>
    <w:rsid w:val="00AF2AB1"/>
    <w:rsid w:val="00AF5CB7"/>
    <w:rsid w:val="00AF6238"/>
    <w:rsid w:val="00B00898"/>
    <w:rsid w:val="00B0133B"/>
    <w:rsid w:val="00B04CD4"/>
    <w:rsid w:val="00B051FF"/>
    <w:rsid w:val="00B07813"/>
    <w:rsid w:val="00B104E3"/>
    <w:rsid w:val="00B10FE0"/>
    <w:rsid w:val="00B11B22"/>
    <w:rsid w:val="00B12456"/>
    <w:rsid w:val="00B15905"/>
    <w:rsid w:val="00B316C5"/>
    <w:rsid w:val="00B318DB"/>
    <w:rsid w:val="00B34175"/>
    <w:rsid w:val="00B35DDE"/>
    <w:rsid w:val="00B36543"/>
    <w:rsid w:val="00B36C15"/>
    <w:rsid w:val="00B4088D"/>
    <w:rsid w:val="00B47182"/>
    <w:rsid w:val="00B50450"/>
    <w:rsid w:val="00B513FE"/>
    <w:rsid w:val="00B5548F"/>
    <w:rsid w:val="00B566C7"/>
    <w:rsid w:val="00B56A9A"/>
    <w:rsid w:val="00B60222"/>
    <w:rsid w:val="00B611BB"/>
    <w:rsid w:val="00B630FA"/>
    <w:rsid w:val="00B65365"/>
    <w:rsid w:val="00B70F57"/>
    <w:rsid w:val="00B742C1"/>
    <w:rsid w:val="00B766C8"/>
    <w:rsid w:val="00B7718C"/>
    <w:rsid w:val="00B81305"/>
    <w:rsid w:val="00B82C5D"/>
    <w:rsid w:val="00B834FD"/>
    <w:rsid w:val="00B91844"/>
    <w:rsid w:val="00B9453D"/>
    <w:rsid w:val="00B97344"/>
    <w:rsid w:val="00BA0D0E"/>
    <w:rsid w:val="00BA200F"/>
    <w:rsid w:val="00BA3EE8"/>
    <w:rsid w:val="00BA4E6F"/>
    <w:rsid w:val="00BA57D7"/>
    <w:rsid w:val="00BA6EAD"/>
    <w:rsid w:val="00BB1D28"/>
    <w:rsid w:val="00BB34E4"/>
    <w:rsid w:val="00BB5031"/>
    <w:rsid w:val="00BB77F6"/>
    <w:rsid w:val="00BC029E"/>
    <w:rsid w:val="00BC120F"/>
    <w:rsid w:val="00BC61E3"/>
    <w:rsid w:val="00BD0766"/>
    <w:rsid w:val="00BD7CCE"/>
    <w:rsid w:val="00BE1D29"/>
    <w:rsid w:val="00BE3316"/>
    <w:rsid w:val="00BE40BE"/>
    <w:rsid w:val="00BE5FC1"/>
    <w:rsid w:val="00BF1F04"/>
    <w:rsid w:val="00BF4BC0"/>
    <w:rsid w:val="00C00E09"/>
    <w:rsid w:val="00C01767"/>
    <w:rsid w:val="00C129F2"/>
    <w:rsid w:val="00C17948"/>
    <w:rsid w:val="00C204A5"/>
    <w:rsid w:val="00C21861"/>
    <w:rsid w:val="00C225C7"/>
    <w:rsid w:val="00C22DD4"/>
    <w:rsid w:val="00C2491E"/>
    <w:rsid w:val="00C25357"/>
    <w:rsid w:val="00C32486"/>
    <w:rsid w:val="00C3397E"/>
    <w:rsid w:val="00C34CCA"/>
    <w:rsid w:val="00C352E7"/>
    <w:rsid w:val="00C35E97"/>
    <w:rsid w:val="00C37263"/>
    <w:rsid w:val="00C41B3C"/>
    <w:rsid w:val="00C434EB"/>
    <w:rsid w:val="00C505D1"/>
    <w:rsid w:val="00C50AA9"/>
    <w:rsid w:val="00C522AD"/>
    <w:rsid w:val="00C546BC"/>
    <w:rsid w:val="00C56A6F"/>
    <w:rsid w:val="00C5798A"/>
    <w:rsid w:val="00C6046B"/>
    <w:rsid w:val="00C6313C"/>
    <w:rsid w:val="00C70F7D"/>
    <w:rsid w:val="00C711B9"/>
    <w:rsid w:val="00C80129"/>
    <w:rsid w:val="00C818CA"/>
    <w:rsid w:val="00C81A9D"/>
    <w:rsid w:val="00C8377C"/>
    <w:rsid w:val="00C94D97"/>
    <w:rsid w:val="00C95BFB"/>
    <w:rsid w:val="00C96FFF"/>
    <w:rsid w:val="00CA100E"/>
    <w:rsid w:val="00CA3415"/>
    <w:rsid w:val="00CA3EEB"/>
    <w:rsid w:val="00CB7406"/>
    <w:rsid w:val="00CC1469"/>
    <w:rsid w:val="00CC4143"/>
    <w:rsid w:val="00CC5526"/>
    <w:rsid w:val="00CC6197"/>
    <w:rsid w:val="00CC770D"/>
    <w:rsid w:val="00CE110B"/>
    <w:rsid w:val="00CE13C9"/>
    <w:rsid w:val="00CE179F"/>
    <w:rsid w:val="00CE1E1E"/>
    <w:rsid w:val="00CE67D0"/>
    <w:rsid w:val="00CE6844"/>
    <w:rsid w:val="00CE697C"/>
    <w:rsid w:val="00CF00A3"/>
    <w:rsid w:val="00CF0410"/>
    <w:rsid w:val="00CF0C7E"/>
    <w:rsid w:val="00CF4CB3"/>
    <w:rsid w:val="00CF52B3"/>
    <w:rsid w:val="00D010B9"/>
    <w:rsid w:val="00D02553"/>
    <w:rsid w:val="00D0714F"/>
    <w:rsid w:val="00D13286"/>
    <w:rsid w:val="00D17D69"/>
    <w:rsid w:val="00D17E65"/>
    <w:rsid w:val="00D206C3"/>
    <w:rsid w:val="00D2439D"/>
    <w:rsid w:val="00D25008"/>
    <w:rsid w:val="00D27986"/>
    <w:rsid w:val="00D31393"/>
    <w:rsid w:val="00D31E72"/>
    <w:rsid w:val="00D34568"/>
    <w:rsid w:val="00D352D7"/>
    <w:rsid w:val="00D363D2"/>
    <w:rsid w:val="00D406DC"/>
    <w:rsid w:val="00D40BFC"/>
    <w:rsid w:val="00D45532"/>
    <w:rsid w:val="00D46219"/>
    <w:rsid w:val="00D51A6C"/>
    <w:rsid w:val="00D53991"/>
    <w:rsid w:val="00D55436"/>
    <w:rsid w:val="00D570D4"/>
    <w:rsid w:val="00D61197"/>
    <w:rsid w:val="00D62266"/>
    <w:rsid w:val="00D63A03"/>
    <w:rsid w:val="00D7680C"/>
    <w:rsid w:val="00D772F1"/>
    <w:rsid w:val="00D81D3B"/>
    <w:rsid w:val="00D867EE"/>
    <w:rsid w:val="00D86FE4"/>
    <w:rsid w:val="00D90CDD"/>
    <w:rsid w:val="00D91CE2"/>
    <w:rsid w:val="00D92021"/>
    <w:rsid w:val="00DA3170"/>
    <w:rsid w:val="00DA63CB"/>
    <w:rsid w:val="00DB0183"/>
    <w:rsid w:val="00DB0CA9"/>
    <w:rsid w:val="00DB0F6D"/>
    <w:rsid w:val="00DB30E6"/>
    <w:rsid w:val="00DC15BB"/>
    <w:rsid w:val="00DC15E9"/>
    <w:rsid w:val="00DC69C6"/>
    <w:rsid w:val="00DC6F67"/>
    <w:rsid w:val="00DD0C3E"/>
    <w:rsid w:val="00DD1FF6"/>
    <w:rsid w:val="00DD3DEF"/>
    <w:rsid w:val="00DE1047"/>
    <w:rsid w:val="00DE144E"/>
    <w:rsid w:val="00DE4117"/>
    <w:rsid w:val="00DF1578"/>
    <w:rsid w:val="00DF2D8D"/>
    <w:rsid w:val="00E04CF9"/>
    <w:rsid w:val="00E06F0D"/>
    <w:rsid w:val="00E10400"/>
    <w:rsid w:val="00E12824"/>
    <w:rsid w:val="00E132D1"/>
    <w:rsid w:val="00E14AE6"/>
    <w:rsid w:val="00E15C35"/>
    <w:rsid w:val="00E1685A"/>
    <w:rsid w:val="00E175AF"/>
    <w:rsid w:val="00E1784C"/>
    <w:rsid w:val="00E201DA"/>
    <w:rsid w:val="00E205CD"/>
    <w:rsid w:val="00E22B11"/>
    <w:rsid w:val="00E305E4"/>
    <w:rsid w:val="00E32A5E"/>
    <w:rsid w:val="00E341D7"/>
    <w:rsid w:val="00E41060"/>
    <w:rsid w:val="00E4191E"/>
    <w:rsid w:val="00E41A2E"/>
    <w:rsid w:val="00E4206B"/>
    <w:rsid w:val="00E42F2B"/>
    <w:rsid w:val="00E453A1"/>
    <w:rsid w:val="00E474F9"/>
    <w:rsid w:val="00E47C88"/>
    <w:rsid w:val="00E52FCC"/>
    <w:rsid w:val="00E545E9"/>
    <w:rsid w:val="00E57FC9"/>
    <w:rsid w:val="00E66114"/>
    <w:rsid w:val="00E672CA"/>
    <w:rsid w:val="00E70576"/>
    <w:rsid w:val="00E72AA2"/>
    <w:rsid w:val="00E851D9"/>
    <w:rsid w:val="00E909A5"/>
    <w:rsid w:val="00E90FD9"/>
    <w:rsid w:val="00E92318"/>
    <w:rsid w:val="00E92CD5"/>
    <w:rsid w:val="00E94417"/>
    <w:rsid w:val="00E9582E"/>
    <w:rsid w:val="00E974C1"/>
    <w:rsid w:val="00E977F3"/>
    <w:rsid w:val="00EA0F8C"/>
    <w:rsid w:val="00EA213F"/>
    <w:rsid w:val="00EA4A12"/>
    <w:rsid w:val="00EA743D"/>
    <w:rsid w:val="00EB3856"/>
    <w:rsid w:val="00EB64F3"/>
    <w:rsid w:val="00EB657D"/>
    <w:rsid w:val="00EB7CE7"/>
    <w:rsid w:val="00EC0A4D"/>
    <w:rsid w:val="00EC2044"/>
    <w:rsid w:val="00EC5358"/>
    <w:rsid w:val="00EC6A93"/>
    <w:rsid w:val="00EC6E82"/>
    <w:rsid w:val="00EC7686"/>
    <w:rsid w:val="00EC7DA4"/>
    <w:rsid w:val="00ED1F6C"/>
    <w:rsid w:val="00ED5A82"/>
    <w:rsid w:val="00ED5F0C"/>
    <w:rsid w:val="00EE5680"/>
    <w:rsid w:val="00EE6655"/>
    <w:rsid w:val="00EF1E51"/>
    <w:rsid w:val="00EF2B8C"/>
    <w:rsid w:val="00EF49BB"/>
    <w:rsid w:val="00F10B76"/>
    <w:rsid w:val="00F12854"/>
    <w:rsid w:val="00F1426C"/>
    <w:rsid w:val="00F14B7D"/>
    <w:rsid w:val="00F26726"/>
    <w:rsid w:val="00F31203"/>
    <w:rsid w:val="00F32832"/>
    <w:rsid w:val="00F348F3"/>
    <w:rsid w:val="00F35C46"/>
    <w:rsid w:val="00F365E4"/>
    <w:rsid w:val="00F37A88"/>
    <w:rsid w:val="00F41286"/>
    <w:rsid w:val="00F42254"/>
    <w:rsid w:val="00F4536E"/>
    <w:rsid w:val="00F52B10"/>
    <w:rsid w:val="00F57AAF"/>
    <w:rsid w:val="00F64BFC"/>
    <w:rsid w:val="00F64DAE"/>
    <w:rsid w:val="00F677C4"/>
    <w:rsid w:val="00F70B25"/>
    <w:rsid w:val="00F7179C"/>
    <w:rsid w:val="00F744F8"/>
    <w:rsid w:val="00F75A00"/>
    <w:rsid w:val="00F84EC2"/>
    <w:rsid w:val="00F90487"/>
    <w:rsid w:val="00FA0A88"/>
    <w:rsid w:val="00FA2251"/>
    <w:rsid w:val="00FA3AE5"/>
    <w:rsid w:val="00FB1642"/>
    <w:rsid w:val="00FB2088"/>
    <w:rsid w:val="00FB39FC"/>
    <w:rsid w:val="00FB5EB3"/>
    <w:rsid w:val="00FC5A68"/>
    <w:rsid w:val="00FD45DD"/>
    <w:rsid w:val="00FD626B"/>
    <w:rsid w:val="00FD659C"/>
    <w:rsid w:val="00FD7769"/>
    <w:rsid w:val="00FE010C"/>
    <w:rsid w:val="00FE4D20"/>
    <w:rsid w:val="00FE51B4"/>
    <w:rsid w:val="00FE5C8D"/>
    <w:rsid w:val="00FE7B3B"/>
    <w:rsid w:val="00FF0475"/>
    <w:rsid w:val="00FF4540"/>
    <w:rsid w:val="00FF479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60A65"/>
  <w15:chartTrackingRefBased/>
  <w15:docId w15:val="{78BA20B1-D6C7-41AD-8F61-C2D27CFA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3A1"/>
  </w:style>
  <w:style w:type="character" w:styleId="FootnoteReference">
    <w:name w:val="footnote reference"/>
    <w:semiHidden/>
    <w:rsid w:val="00E453A1"/>
    <w:rPr>
      <w:vertAlign w:val="superscript"/>
    </w:rPr>
  </w:style>
  <w:style w:type="paragraph" w:styleId="NormalWeb">
    <w:name w:val="Normal (Web)"/>
    <w:basedOn w:val="Normal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142F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5A5CE7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13" ma:contentTypeDescription="Create a new document." ma:contentTypeScope="" ma:versionID="40e3f85624122ff0d9ec2bd083a9543d">
  <xsd:schema xmlns:xsd="http://www.w3.org/2001/XMLSchema" xmlns:xs="http://www.w3.org/2001/XMLSchema" xmlns:p="http://schemas.microsoft.com/office/2006/metadata/properties" xmlns:ns3="d1ba1c23-b5c4-47db-8d87-1bbb46e759e5" xmlns:ns4="c9942fb2-9664-4cd6-b540-684872d1b6cc" targetNamespace="http://schemas.microsoft.com/office/2006/metadata/properties" ma:root="true" ma:fieldsID="9cae97dc299d06b00bf29804e6b7b5c1" ns3:_="" ns4:_="">
    <xsd:import namespace="d1ba1c23-b5c4-47db-8d87-1bbb46e759e5"/>
    <xsd:import namespace="c9942fb2-9664-4cd6-b540-684872d1b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2fb2-9664-4cd6-b540-684872d1b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a1c23-b5c4-47db-8d87-1bbb46e759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D2922-7022-47A6-B0CC-5E5F108F6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D7238-8155-481B-B748-D2F7F3FE3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c9942fb2-9664-4cd6-b540-684872d1b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CB0EB-FBEB-4754-B7C8-76EF35A96893}">
  <ds:schemaRefs>
    <ds:schemaRef ds:uri="http://schemas.microsoft.com/office/2006/metadata/properties"/>
    <ds:schemaRef ds:uri="http://schemas.microsoft.com/office/infopath/2007/PartnerControls"/>
    <ds:schemaRef ds:uri="d1ba1c23-b5c4-47db-8d87-1bbb46e759e5"/>
  </ds:schemaRefs>
</ds:datastoreItem>
</file>

<file path=customXml/itemProps4.xml><?xml version="1.0" encoding="utf-8"?>
<ds:datastoreItem xmlns:ds="http://schemas.openxmlformats.org/officeDocument/2006/customXml" ds:itemID="{23E7FC06-6954-4501-A7A4-6CBF3336B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1110</Words>
  <Characters>6246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Medical Review Regulations</vt:lpstr>
    </vt:vector>
  </TitlesOfParts>
  <Company>dir</Company>
  <LinksUpToDate>false</LinksUpToDate>
  <CharactersWithSpaces>7342</CharactersWithSpaces>
  <SharedDoc>false</SharedDoc>
  <HLinks>
    <vt:vector size="12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https://acoem.org/Practice-Resources/Practice-Guidelines-Center</vt:lpwstr>
      </vt:variant>
      <vt:variant>
        <vt:lpwstr/>
      </vt:variant>
      <vt:variant>
        <vt:i4>4063348</vt:i4>
      </vt:variant>
      <vt:variant>
        <vt:i4>0</vt:i4>
      </vt:variant>
      <vt:variant>
        <vt:i4>0</vt:i4>
      </vt:variant>
      <vt:variant>
        <vt:i4>5</vt:i4>
      </vt:variant>
      <vt:variant>
        <vt:lpwstr>https://acoem.org/Practice-Resources/Practice-Guidelines-Center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Medical Review Regulations</dc:title>
  <dc:subject/>
  <dc:creator>dir</dc:creator>
  <cp:keywords/>
  <dc:description/>
  <cp:lastModifiedBy>Gray, Maureen@DIR</cp:lastModifiedBy>
  <cp:revision>2</cp:revision>
  <cp:lastPrinted>2005-05-13T18:46:00Z</cp:lastPrinted>
  <dcterms:created xsi:type="dcterms:W3CDTF">2026-02-27T20:36:00Z</dcterms:created>
  <dcterms:modified xsi:type="dcterms:W3CDTF">2026-02-27T20:36:00Z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