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93BCD" w14:textId="1D798C3D" w:rsidR="00B2632C" w:rsidRDefault="009D2D81">
      <w:pPr>
        <w:tabs>
          <w:tab w:val="left" w:pos="7031"/>
        </w:tabs>
        <w:spacing w:before="77"/>
        <w:ind w:left="135"/>
        <w:rPr>
          <w:rFonts w:ascii="Times New Roman"/>
          <w:i/>
          <w:sz w:val="18"/>
        </w:rPr>
      </w:pPr>
      <w:r>
        <w:rPr>
          <w:noProof/>
          <w:lang w:bidi="ar-SA"/>
        </w:rPr>
        <mc:AlternateContent>
          <mc:Choice Requires="wpg">
            <w:drawing>
              <wp:inline distT="0" distB="0" distL="0" distR="0" wp14:anchorId="6E6EC5AC" wp14:editId="04E60499">
                <wp:extent cx="6190488" cy="27432"/>
                <wp:effectExtent l="0" t="0" r="20320" b="10795"/>
                <wp:docPr id="2" name="Group 2" title="Line to denote letter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488" cy="27432"/>
                          <a:chOff x="1267" y="307"/>
                          <a:chExt cx="9742" cy="44"/>
                        </a:xfrm>
                      </wpg:grpSpPr>
                      <wps:wsp>
                        <wps:cNvPr id="3" name="Line 4"/>
                        <wps:cNvCnPr>
                          <a:cxnSpLocks noChangeShapeType="1"/>
                        </wps:cNvCnPr>
                        <wps:spPr bwMode="auto">
                          <a:xfrm>
                            <a:off x="1267" y="343"/>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267" y="315"/>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F33D7A" id="Group 2" o:spid="_x0000_s1026" alt="Title: Line to denote letterhead" style="width:487.45pt;height:2.15pt;mso-position-horizontal-relative:char;mso-position-vertical-relative:line" coordorigin="1267,307" coordsize="97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">
                <v:line id="Line 4" o:spid="_x0000_s1027" style="position:absolute;visibility:visible;mso-wrap-style:square" from="1267,343" to="110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3" o:spid="_x0000_s1028" style="position:absolute;visibility:visible;mso-wrap-style:square" from="1267,315" to="110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r w:rsidR="00D71264">
        <w:rPr>
          <w:rFonts w:ascii="Times New Roman"/>
          <w:b/>
          <w:sz w:val="18"/>
        </w:rPr>
        <w:t>STATE</w:t>
      </w:r>
      <w:r w:rsidR="00D71264">
        <w:rPr>
          <w:rFonts w:ascii="Times New Roman"/>
          <w:b/>
          <w:spacing w:val="42"/>
          <w:sz w:val="18"/>
        </w:rPr>
        <w:t xml:space="preserve"> </w:t>
      </w:r>
      <w:r w:rsidR="00D71264">
        <w:rPr>
          <w:rFonts w:ascii="Times New Roman"/>
          <w:b/>
          <w:sz w:val="18"/>
        </w:rPr>
        <w:t>OF</w:t>
      </w:r>
      <w:r w:rsidR="00D71264">
        <w:rPr>
          <w:rFonts w:ascii="Times New Roman"/>
          <w:b/>
          <w:spacing w:val="42"/>
          <w:sz w:val="18"/>
        </w:rPr>
        <w:t xml:space="preserve"> </w:t>
      </w:r>
      <w:r w:rsidR="00D71264">
        <w:rPr>
          <w:rFonts w:ascii="Times New Roman"/>
          <w:b/>
          <w:sz w:val="18"/>
        </w:rPr>
        <w:t>CALIFORNIA</w:t>
      </w:r>
      <w:r w:rsidR="00D71264">
        <w:rPr>
          <w:rFonts w:ascii="Times New Roman"/>
          <w:b/>
          <w:sz w:val="18"/>
        </w:rPr>
        <w:tab/>
      </w:r>
      <w:r w:rsidR="00D71264">
        <w:rPr>
          <w:rFonts w:ascii="Times New Roman"/>
          <w:sz w:val="18"/>
        </w:rPr>
        <w:t>Gavin Newsom,</w:t>
      </w:r>
      <w:r w:rsidR="00D71264">
        <w:rPr>
          <w:rFonts w:ascii="Times New Roman"/>
          <w:spacing w:val="-19"/>
          <w:sz w:val="18"/>
        </w:rPr>
        <w:t xml:space="preserve"> </w:t>
      </w:r>
      <w:r w:rsidR="00D71264">
        <w:rPr>
          <w:rFonts w:ascii="Times New Roman"/>
          <w:i/>
          <w:sz w:val="18"/>
        </w:rPr>
        <w:t>Governor</w:t>
      </w:r>
    </w:p>
    <w:p w14:paraId="42A93BCE" w14:textId="5B05B462" w:rsidR="00B2632C" w:rsidRDefault="000406B5">
      <w:pPr>
        <w:spacing w:before="25" w:line="249" w:lineRule="auto"/>
        <w:ind w:left="135" w:right="6015"/>
        <w:jc w:val="both"/>
        <w:rPr>
          <w:rFonts w:ascii="Times New Roman" w:hAnsi="Times New Roman"/>
          <w:b/>
          <w:sz w:val="18"/>
        </w:rPr>
      </w:pPr>
      <w:r>
        <w:rPr>
          <w:noProof/>
          <w:lang w:bidi="ar-SA"/>
        </w:rPr>
        <w:drawing>
          <wp:anchor distT="0" distB="0" distL="0" distR="0" simplePos="0" relativeHeight="251659264" behindDoc="0" locked="0" layoutInCell="1" allowOverlap="1" wp14:anchorId="42A93BE7" wp14:editId="2666D019">
            <wp:simplePos x="0" y="0"/>
            <wp:positionH relativeFrom="page">
              <wp:posOffset>6120765</wp:posOffset>
            </wp:positionH>
            <wp:positionV relativeFrom="paragraph">
              <wp:posOffset>15875</wp:posOffset>
            </wp:positionV>
            <wp:extent cx="714375" cy="666750"/>
            <wp:effectExtent l="0" t="0" r="9525" b="0"/>
            <wp:wrapNone/>
            <wp:docPr id="1" name="image1.jpeg" descr="Picture of the Goddess Minerva and the California Grizzly Bear crouching at her feet.  There is also a Gold miner, ships upon a mountain rimmed bay and the motto &quot;Eureka,&quot; which means &quot;I have found it.&quot;" title="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4375" cy="666750"/>
                    </a:xfrm>
                    <a:prstGeom prst="rect">
                      <a:avLst/>
                    </a:prstGeom>
                  </pic:spPr>
                </pic:pic>
              </a:graphicData>
            </a:graphic>
          </wp:anchor>
        </w:drawing>
      </w:r>
      <w:r w:rsidR="00D71264">
        <w:rPr>
          <w:rFonts w:ascii="Times New Roman" w:hAnsi="Times New Roman"/>
          <w:sz w:val="18"/>
        </w:rPr>
        <w:t xml:space="preserve">DEPARTMENT OF INDUSTRIAL RELATIONS </w:t>
      </w:r>
      <w:r w:rsidR="00D71264">
        <w:rPr>
          <w:rFonts w:ascii="Times New Roman" w:hAnsi="Times New Roman"/>
          <w:b/>
          <w:sz w:val="18"/>
        </w:rPr>
        <w:t>DIVISION OF WORKERS’ COMPENSATION LEGAL UNIT</w:t>
      </w:r>
    </w:p>
    <w:p w14:paraId="42A93BCF" w14:textId="77777777" w:rsidR="00B2632C" w:rsidRDefault="00D71264">
      <w:pPr>
        <w:spacing w:line="195" w:lineRule="exact"/>
        <w:ind w:left="135"/>
        <w:rPr>
          <w:rFonts w:ascii="Times New Roman"/>
          <w:sz w:val="18"/>
        </w:rPr>
      </w:pPr>
      <w:r>
        <w:rPr>
          <w:rFonts w:ascii="Times New Roman"/>
          <w:sz w:val="18"/>
        </w:rPr>
        <w:t>1515 Clay Street, Suite 1700</w:t>
      </w:r>
    </w:p>
    <w:p w14:paraId="42A93BD0" w14:textId="77777777" w:rsidR="00B2632C" w:rsidRDefault="00D71264">
      <w:pPr>
        <w:spacing w:before="2" w:line="207" w:lineRule="exact"/>
        <w:ind w:left="135"/>
        <w:rPr>
          <w:rFonts w:ascii="Times New Roman"/>
          <w:sz w:val="18"/>
        </w:rPr>
      </w:pPr>
      <w:r>
        <w:rPr>
          <w:rFonts w:ascii="Times New Roman"/>
          <w:sz w:val="18"/>
        </w:rPr>
        <w:t>Oakland, California 94612</w:t>
      </w:r>
    </w:p>
    <w:p w14:paraId="42A93BD1" w14:textId="77777777" w:rsidR="00B2632C" w:rsidRDefault="00D71264">
      <w:pPr>
        <w:spacing w:line="207" w:lineRule="exact"/>
        <w:ind w:left="135"/>
        <w:rPr>
          <w:rFonts w:ascii="Times New Roman"/>
          <w:sz w:val="18"/>
        </w:rPr>
      </w:pPr>
      <w:r>
        <w:rPr>
          <w:rFonts w:ascii="Times New Roman"/>
          <w:sz w:val="18"/>
        </w:rPr>
        <w:t>Tel (510) 286 -7100 Fax (510) 286-0687</w:t>
      </w:r>
    </w:p>
    <w:p w14:paraId="42A93BD2" w14:textId="77777777" w:rsidR="00B2632C" w:rsidRDefault="00B2632C">
      <w:pPr>
        <w:pStyle w:val="BodyText"/>
        <w:rPr>
          <w:rFonts w:ascii="Times New Roman"/>
          <w:sz w:val="20"/>
        </w:rPr>
      </w:pPr>
    </w:p>
    <w:p w14:paraId="42A93BD3" w14:textId="77777777" w:rsidR="00B2632C" w:rsidRPr="00D71264" w:rsidRDefault="00B2632C">
      <w:pPr>
        <w:pStyle w:val="BodyText"/>
        <w:spacing w:before="2"/>
        <w:rPr>
          <w:rFonts w:ascii="Times New Roman"/>
        </w:rPr>
      </w:pPr>
      <w:bookmarkStart w:id="0" w:name="_GoBack"/>
      <w:bookmarkEnd w:id="0"/>
    </w:p>
    <w:p w14:paraId="42A93BD4" w14:textId="02B2C1CC" w:rsidR="00B2632C" w:rsidRPr="00D71264" w:rsidRDefault="00FE10C8">
      <w:pPr>
        <w:pStyle w:val="BodyText"/>
        <w:ind w:left="312" w:right="892"/>
        <w:jc w:val="center"/>
      </w:pPr>
      <w:r>
        <w:t>December 20</w:t>
      </w:r>
      <w:r w:rsidR="00A45321">
        <w:t>, 2021</w:t>
      </w:r>
    </w:p>
    <w:p w14:paraId="42A93BD5" w14:textId="77777777" w:rsidR="00B2632C" w:rsidRPr="00D71264" w:rsidRDefault="00B2632C">
      <w:pPr>
        <w:pStyle w:val="BodyText"/>
      </w:pPr>
    </w:p>
    <w:p w14:paraId="42A93BD6" w14:textId="77777777" w:rsidR="00B2632C" w:rsidRPr="00D71264" w:rsidRDefault="00B2632C">
      <w:pPr>
        <w:pStyle w:val="BodyText"/>
      </w:pPr>
    </w:p>
    <w:p w14:paraId="42A93BD7" w14:textId="77777777" w:rsidR="00B2632C" w:rsidRPr="00D71264" w:rsidRDefault="00D71264">
      <w:pPr>
        <w:ind w:left="313" w:right="892"/>
        <w:jc w:val="center"/>
        <w:rPr>
          <w:b/>
          <w:sz w:val="24"/>
          <w:szCs w:val="24"/>
        </w:rPr>
      </w:pPr>
      <w:r w:rsidRPr="00D71264">
        <w:rPr>
          <w:b/>
          <w:sz w:val="24"/>
          <w:szCs w:val="24"/>
        </w:rPr>
        <w:t>NOTIFICATION OF PROPOSED EMERGENCY REGULATORY ACTION</w:t>
      </w:r>
    </w:p>
    <w:p w14:paraId="42A93BD8" w14:textId="77777777" w:rsidR="00B2632C" w:rsidRPr="00D71264" w:rsidRDefault="00B2632C">
      <w:pPr>
        <w:pStyle w:val="BodyText"/>
        <w:rPr>
          <w:b/>
        </w:rPr>
      </w:pPr>
    </w:p>
    <w:p w14:paraId="42A93BD9" w14:textId="77777777" w:rsidR="00B2632C" w:rsidRPr="00D71264" w:rsidRDefault="00D71264">
      <w:pPr>
        <w:pStyle w:val="BodyText"/>
        <w:ind w:left="313" w:right="892"/>
        <w:jc w:val="center"/>
      </w:pPr>
      <w:r w:rsidRPr="00D71264">
        <w:t xml:space="preserve">Subject: </w:t>
      </w:r>
      <w:r w:rsidR="009D2D81" w:rsidRPr="00D71264">
        <w:rPr>
          <w:rFonts w:eastAsia="Times New Roman"/>
          <w:color w:val="000000" w:themeColor="text1"/>
        </w:rPr>
        <w:t>QME Emergency Regulations in Response to COVID-19</w:t>
      </w:r>
    </w:p>
    <w:p w14:paraId="42A93BDA" w14:textId="77777777" w:rsidR="00B2632C" w:rsidRPr="00D71264" w:rsidRDefault="00B2632C">
      <w:pPr>
        <w:pStyle w:val="BodyText"/>
      </w:pPr>
    </w:p>
    <w:p w14:paraId="42A93BDB" w14:textId="77777777" w:rsidR="00B2632C" w:rsidRPr="00D71264" w:rsidRDefault="00B2632C">
      <w:pPr>
        <w:pStyle w:val="BodyText"/>
      </w:pPr>
    </w:p>
    <w:p w14:paraId="42A93BDC" w14:textId="22A99F6C" w:rsidR="00B2632C" w:rsidRPr="00D71264" w:rsidRDefault="00D71264" w:rsidP="00D71264">
      <w:pPr>
        <w:rPr>
          <w:rFonts w:eastAsia="Times New Roman"/>
          <w:color w:val="000000" w:themeColor="text1"/>
          <w:sz w:val="24"/>
          <w:szCs w:val="24"/>
        </w:rPr>
      </w:pPr>
      <w:r w:rsidRPr="00D71264">
        <w:rPr>
          <w:sz w:val="24"/>
          <w:szCs w:val="24"/>
        </w:rPr>
        <w:t xml:space="preserve">The Department of Industrial Relations, Division of Workers’ Compensation (DWC) is proposing to adopt </w:t>
      </w:r>
      <w:r w:rsidR="00A45321">
        <w:rPr>
          <w:sz w:val="24"/>
          <w:szCs w:val="24"/>
        </w:rPr>
        <w:t>an emergency regulation</w:t>
      </w:r>
      <w:r w:rsidRPr="00D71264">
        <w:rPr>
          <w:sz w:val="24"/>
          <w:szCs w:val="24"/>
        </w:rPr>
        <w:t xml:space="preserve"> affecting </w:t>
      </w:r>
      <w:r w:rsidR="009D2D81" w:rsidRPr="00D71264">
        <w:rPr>
          <w:sz w:val="24"/>
          <w:szCs w:val="24"/>
        </w:rPr>
        <w:t>medical-legal evaluations. The emergency regulation</w:t>
      </w:r>
      <w:r w:rsidRPr="00D71264">
        <w:rPr>
          <w:sz w:val="24"/>
          <w:szCs w:val="24"/>
        </w:rPr>
        <w:t xml:space="preserve"> propose</w:t>
      </w:r>
      <w:r w:rsidR="00DB35B2">
        <w:rPr>
          <w:sz w:val="24"/>
          <w:szCs w:val="24"/>
        </w:rPr>
        <w:t>s</w:t>
      </w:r>
      <w:r w:rsidRPr="00D71264">
        <w:rPr>
          <w:sz w:val="24"/>
          <w:szCs w:val="24"/>
        </w:rPr>
        <w:t xml:space="preserve"> to </w:t>
      </w:r>
      <w:r w:rsidR="009D2D81" w:rsidRPr="00D71264">
        <w:rPr>
          <w:sz w:val="24"/>
          <w:szCs w:val="24"/>
        </w:rPr>
        <w:t xml:space="preserve">adopt Article </w:t>
      </w:r>
      <w:r w:rsidR="00A45321">
        <w:rPr>
          <w:sz w:val="24"/>
          <w:szCs w:val="24"/>
        </w:rPr>
        <w:t>4</w:t>
      </w:r>
      <w:r w:rsidR="009D2D81" w:rsidRPr="00D71264">
        <w:rPr>
          <w:sz w:val="24"/>
          <w:szCs w:val="24"/>
        </w:rPr>
        <w:t xml:space="preserve"> of Chapter 1</w:t>
      </w:r>
      <w:r w:rsidR="00D1052B">
        <w:rPr>
          <w:sz w:val="24"/>
          <w:szCs w:val="24"/>
        </w:rPr>
        <w:t>, of t</w:t>
      </w:r>
      <w:r w:rsidRPr="00D71264">
        <w:rPr>
          <w:sz w:val="24"/>
          <w:szCs w:val="24"/>
        </w:rPr>
        <w:t>itle 8, California Code of Regulations,</w:t>
      </w:r>
      <w:r w:rsidR="009D2D81" w:rsidRPr="00D71264">
        <w:rPr>
          <w:sz w:val="24"/>
          <w:szCs w:val="24"/>
        </w:rPr>
        <w:t xml:space="preserve"> section </w:t>
      </w:r>
      <w:r w:rsidR="00A45321">
        <w:rPr>
          <w:sz w:val="24"/>
          <w:szCs w:val="24"/>
        </w:rPr>
        <w:t>46.3</w:t>
      </w:r>
      <w:r w:rsidR="00D1052B">
        <w:rPr>
          <w:sz w:val="24"/>
          <w:szCs w:val="24"/>
        </w:rPr>
        <w:t xml:space="preserve"> </w:t>
      </w:r>
      <w:r w:rsidR="00D1052B" w:rsidRPr="00D71264">
        <w:rPr>
          <w:rFonts w:eastAsia="Times New Roman"/>
          <w:color w:val="000000" w:themeColor="text1"/>
          <w:sz w:val="24"/>
          <w:szCs w:val="24"/>
        </w:rPr>
        <w:t>QME Emergency Regulation in Response to COVID-19</w:t>
      </w:r>
      <w:r w:rsidR="00A45321">
        <w:rPr>
          <w:rFonts w:eastAsia="Times New Roman"/>
          <w:color w:val="000000" w:themeColor="text1"/>
          <w:sz w:val="24"/>
          <w:szCs w:val="24"/>
        </w:rPr>
        <w:t xml:space="preserve">.  </w:t>
      </w:r>
      <w:r w:rsidR="009D2D81" w:rsidRPr="00D71264">
        <w:rPr>
          <w:sz w:val="24"/>
          <w:szCs w:val="24"/>
        </w:rPr>
        <w:t>The regulation</w:t>
      </w:r>
      <w:r w:rsidR="00D1052B">
        <w:rPr>
          <w:sz w:val="24"/>
          <w:szCs w:val="24"/>
        </w:rPr>
        <w:t xml:space="preserve"> </w:t>
      </w:r>
      <w:r w:rsidR="009D2D81" w:rsidRPr="00D71264">
        <w:rPr>
          <w:sz w:val="24"/>
          <w:szCs w:val="24"/>
        </w:rPr>
        <w:t>address</w:t>
      </w:r>
      <w:r w:rsidR="00A45321">
        <w:rPr>
          <w:sz w:val="24"/>
          <w:szCs w:val="24"/>
        </w:rPr>
        <w:t>es</w:t>
      </w:r>
      <w:r w:rsidR="009D2D81" w:rsidRPr="00D71264">
        <w:rPr>
          <w:sz w:val="24"/>
          <w:szCs w:val="24"/>
        </w:rPr>
        <w:t xml:space="preserve"> the ongoing need </w:t>
      </w:r>
      <w:r w:rsidR="00A45321">
        <w:rPr>
          <w:sz w:val="24"/>
          <w:szCs w:val="24"/>
        </w:rPr>
        <w:t>to allow physicians to continue to provide telehealth evaluations and allow injured workers flexibility with evaluation locations. This</w:t>
      </w:r>
      <w:r w:rsidR="009D2D81" w:rsidRPr="00D71264">
        <w:rPr>
          <w:sz w:val="24"/>
          <w:szCs w:val="24"/>
        </w:rPr>
        <w:t xml:space="preserve"> regulation will help injured workers and employers continue to move their workers</w:t>
      </w:r>
      <w:r w:rsidR="00DB35B2">
        <w:rPr>
          <w:sz w:val="24"/>
          <w:szCs w:val="24"/>
        </w:rPr>
        <w:t>’</w:t>
      </w:r>
      <w:r w:rsidR="009D2D81" w:rsidRPr="00D71264">
        <w:rPr>
          <w:sz w:val="24"/>
          <w:szCs w:val="24"/>
        </w:rPr>
        <w:t xml:space="preserve"> compensation claim</w:t>
      </w:r>
      <w:r w:rsidR="00DB35B2">
        <w:rPr>
          <w:sz w:val="24"/>
          <w:szCs w:val="24"/>
        </w:rPr>
        <w:t>s</w:t>
      </w:r>
      <w:r w:rsidR="009D2D81" w:rsidRPr="00D71264">
        <w:rPr>
          <w:sz w:val="24"/>
          <w:szCs w:val="24"/>
        </w:rPr>
        <w:t xml:space="preserve"> towards a resolution and avoid additional </w:t>
      </w:r>
      <w:r w:rsidR="00DB35B2">
        <w:rPr>
          <w:sz w:val="24"/>
          <w:szCs w:val="24"/>
        </w:rPr>
        <w:t xml:space="preserve">or </w:t>
      </w:r>
      <w:r w:rsidR="009D2D81" w:rsidRPr="00D71264">
        <w:rPr>
          <w:sz w:val="24"/>
          <w:szCs w:val="24"/>
        </w:rPr>
        <w:t xml:space="preserve">undue delay. The authority for the Division to take this action rests in Labor Code sections 133, 139.2, 5307.3, 5307.6, 4061 and 4062.  </w:t>
      </w:r>
    </w:p>
    <w:p w14:paraId="42A93BDD" w14:textId="77777777" w:rsidR="00D71264" w:rsidRPr="00D71264" w:rsidRDefault="00D71264" w:rsidP="00D71264">
      <w:pPr>
        <w:rPr>
          <w:sz w:val="24"/>
          <w:szCs w:val="24"/>
        </w:rPr>
      </w:pPr>
    </w:p>
    <w:p w14:paraId="42A93BDE" w14:textId="42729909" w:rsidR="00B2632C" w:rsidRPr="00D71264" w:rsidRDefault="00D71264" w:rsidP="00D71264">
      <w:pPr>
        <w:rPr>
          <w:sz w:val="24"/>
          <w:szCs w:val="24"/>
        </w:rPr>
      </w:pPr>
      <w:r w:rsidRPr="00D71264">
        <w:rPr>
          <w:sz w:val="24"/>
          <w:szCs w:val="24"/>
        </w:rPr>
        <w:t>Government Code section 11346.1(a</w:t>
      </w:r>
      <w:proofErr w:type="gramStart"/>
      <w:r w:rsidRPr="00D71264">
        <w:rPr>
          <w:sz w:val="24"/>
          <w:szCs w:val="24"/>
        </w:rPr>
        <w:t>)(</w:t>
      </w:r>
      <w:proofErr w:type="gramEnd"/>
      <w:r w:rsidRPr="00D71264">
        <w:rPr>
          <w:sz w:val="24"/>
          <w:szCs w:val="24"/>
        </w:rPr>
        <w:t>2) requires that, at least five working days prior to submission of the proposed emergency action to the Office of Administrative Law (OAL), the adopting agency provide a notice of the proposed emergency action to every person who has filed a request for notice of regulat</w:t>
      </w:r>
      <w:r w:rsidR="00DB35B2">
        <w:rPr>
          <w:sz w:val="24"/>
          <w:szCs w:val="24"/>
        </w:rPr>
        <w:t>ory</w:t>
      </w:r>
      <w:r w:rsidRPr="00D71264">
        <w:rPr>
          <w:sz w:val="24"/>
          <w:szCs w:val="24"/>
        </w:rPr>
        <w:t xml:space="preserve"> action with the agency. After submission of the proposed emergency </w:t>
      </w:r>
      <w:r w:rsidR="00DB35B2" w:rsidRPr="00D71264">
        <w:rPr>
          <w:sz w:val="24"/>
          <w:szCs w:val="24"/>
        </w:rPr>
        <w:t>regulation</w:t>
      </w:r>
      <w:r w:rsidR="00DB35B2">
        <w:rPr>
          <w:sz w:val="24"/>
          <w:szCs w:val="24"/>
        </w:rPr>
        <w:t xml:space="preserve">s </w:t>
      </w:r>
      <w:r w:rsidRPr="00D71264">
        <w:rPr>
          <w:sz w:val="24"/>
          <w:szCs w:val="24"/>
        </w:rPr>
        <w:t xml:space="preserve">to </w:t>
      </w:r>
      <w:r w:rsidR="00574A82">
        <w:rPr>
          <w:sz w:val="24"/>
          <w:szCs w:val="24"/>
        </w:rPr>
        <w:t>it</w:t>
      </w:r>
      <w:r w:rsidRPr="00D71264">
        <w:rPr>
          <w:sz w:val="24"/>
          <w:szCs w:val="24"/>
        </w:rPr>
        <w:t>, OAL shall allow interested persons five calendar days to submit comments on the proposed emergency regulations as set forth in Government Code section 11349.6. Upon filing, OAL will have ten (10) calendar days within which to review and make a decision on t</w:t>
      </w:r>
      <w:r>
        <w:rPr>
          <w:sz w:val="24"/>
          <w:szCs w:val="24"/>
        </w:rPr>
        <w:t xml:space="preserve">he proposed emergency rule. If </w:t>
      </w:r>
      <w:r w:rsidRPr="00D71264">
        <w:rPr>
          <w:sz w:val="24"/>
          <w:szCs w:val="24"/>
        </w:rPr>
        <w:t xml:space="preserve">approved, OAL will file the regulations with the Secretary of State, and the emergency regulations will become effective for </w:t>
      </w:r>
      <w:r w:rsidR="00F62018">
        <w:rPr>
          <w:sz w:val="24"/>
          <w:szCs w:val="24"/>
        </w:rPr>
        <w:t>180</w:t>
      </w:r>
      <w:r w:rsidRPr="00D71264">
        <w:rPr>
          <w:sz w:val="24"/>
          <w:szCs w:val="24"/>
        </w:rPr>
        <w:t xml:space="preserve"> days. During the initial 180</w:t>
      </w:r>
      <w:r w:rsidR="00F62018">
        <w:rPr>
          <w:sz w:val="24"/>
          <w:szCs w:val="24"/>
        </w:rPr>
        <w:t>-</w:t>
      </w:r>
      <w:r w:rsidRPr="00D71264">
        <w:rPr>
          <w:sz w:val="24"/>
          <w:szCs w:val="24"/>
        </w:rPr>
        <w:t xml:space="preserve">day period of effectiveness, </w:t>
      </w:r>
      <w:r w:rsidR="00C305A2">
        <w:rPr>
          <w:sz w:val="24"/>
          <w:szCs w:val="24"/>
        </w:rPr>
        <w:t xml:space="preserve">if </w:t>
      </w:r>
      <w:r w:rsidRPr="00D71264">
        <w:rPr>
          <w:sz w:val="24"/>
          <w:szCs w:val="24"/>
        </w:rPr>
        <w:t>the Division anticipates it will need to readopt the eme</w:t>
      </w:r>
      <w:r w:rsidR="00C305A2">
        <w:rPr>
          <w:sz w:val="24"/>
          <w:szCs w:val="24"/>
        </w:rPr>
        <w:t xml:space="preserve">rgency </w:t>
      </w:r>
      <w:r w:rsidR="00F62018">
        <w:rPr>
          <w:sz w:val="24"/>
          <w:szCs w:val="24"/>
        </w:rPr>
        <w:t xml:space="preserve">regulations </w:t>
      </w:r>
      <w:r w:rsidR="00C305A2">
        <w:rPr>
          <w:sz w:val="24"/>
          <w:szCs w:val="24"/>
        </w:rPr>
        <w:t>for an additional 90 days</w:t>
      </w:r>
      <w:r w:rsidR="00F62018">
        <w:rPr>
          <w:sz w:val="24"/>
          <w:szCs w:val="24"/>
        </w:rPr>
        <w:t>,</w:t>
      </w:r>
      <w:r w:rsidR="00C305A2">
        <w:rPr>
          <w:sz w:val="24"/>
          <w:szCs w:val="24"/>
        </w:rPr>
        <w:t xml:space="preserve"> it will pursue that course of action.</w:t>
      </w:r>
    </w:p>
    <w:p w14:paraId="42A93BDF" w14:textId="4EAFC2AA" w:rsidR="00B2632C" w:rsidRDefault="00B2632C" w:rsidP="00D71264">
      <w:pPr>
        <w:rPr>
          <w:sz w:val="24"/>
          <w:szCs w:val="24"/>
        </w:rPr>
      </w:pPr>
    </w:p>
    <w:p w14:paraId="42A93BE2" w14:textId="77777777" w:rsidR="00B2632C" w:rsidRPr="00D71264" w:rsidRDefault="00D71264" w:rsidP="00D71264">
      <w:pPr>
        <w:rPr>
          <w:sz w:val="24"/>
          <w:szCs w:val="24"/>
        </w:rPr>
      </w:pPr>
      <w:r w:rsidRPr="00D71264">
        <w:rPr>
          <w:sz w:val="24"/>
          <w:szCs w:val="24"/>
        </w:rPr>
        <w:t xml:space="preserve">You may review the proposed regulatory language and Finding of Emergency on the DWC’s website at the following address: </w:t>
      </w:r>
      <w:hyperlink r:id="rId8">
        <w:r w:rsidRPr="00D71264">
          <w:rPr>
            <w:color w:val="0000FF"/>
            <w:sz w:val="24"/>
            <w:szCs w:val="24"/>
            <w:u w:val="single" w:color="0000FF"/>
          </w:rPr>
          <w:t>http://www.dir.ca.gov/dwc/dwcRulemaking.html</w:t>
        </w:r>
      </w:hyperlink>
    </w:p>
    <w:p w14:paraId="42A93BE3" w14:textId="77777777" w:rsidR="00B2632C" w:rsidRPr="00D71264" w:rsidRDefault="00B2632C" w:rsidP="00D71264">
      <w:pPr>
        <w:rPr>
          <w:sz w:val="24"/>
          <w:szCs w:val="24"/>
        </w:rPr>
      </w:pPr>
    </w:p>
    <w:p w14:paraId="42A93BE4" w14:textId="77777777" w:rsidR="00B2632C" w:rsidRPr="00D71264" w:rsidRDefault="00D71264" w:rsidP="00D71264">
      <w:pPr>
        <w:rPr>
          <w:sz w:val="24"/>
          <w:szCs w:val="24"/>
        </w:rPr>
      </w:pPr>
      <w:r w:rsidRPr="00D71264">
        <w:rPr>
          <w:sz w:val="24"/>
          <w:szCs w:val="24"/>
        </w:rPr>
        <w:t xml:space="preserve">If you have any questions regarding this proposed emergency action, please contact Maureen Gray at </w:t>
      </w:r>
      <w:hyperlink r:id="rId9">
        <w:r w:rsidRPr="00D71264">
          <w:rPr>
            <w:color w:val="0000FF"/>
            <w:sz w:val="24"/>
            <w:szCs w:val="24"/>
            <w:u w:val="single" w:color="0000FF"/>
          </w:rPr>
          <w:t>mgray@dir.ca.gov</w:t>
        </w:r>
        <w:r w:rsidRPr="00D71264">
          <w:rPr>
            <w:color w:val="0000FF"/>
            <w:sz w:val="24"/>
            <w:szCs w:val="24"/>
          </w:rPr>
          <w:t xml:space="preserve"> </w:t>
        </w:r>
      </w:hyperlink>
      <w:r w:rsidRPr="00D71264">
        <w:rPr>
          <w:sz w:val="24"/>
          <w:szCs w:val="24"/>
        </w:rPr>
        <w:t>or (510) 286-0676.</w:t>
      </w:r>
    </w:p>
    <w:sectPr w:rsidR="00B2632C" w:rsidRPr="00D71264">
      <w:type w:val="continuous"/>
      <w:pgSz w:w="12240" w:h="15840"/>
      <w:pgMar w:top="640" w:right="11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2C"/>
    <w:rsid w:val="000406B5"/>
    <w:rsid w:val="000D35EF"/>
    <w:rsid w:val="00231FB9"/>
    <w:rsid w:val="002671AC"/>
    <w:rsid w:val="002E65CB"/>
    <w:rsid w:val="003F6CB2"/>
    <w:rsid w:val="0040789F"/>
    <w:rsid w:val="00536095"/>
    <w:rsid w:val="00574A82"/>
    <w:rsid w:val="005F0CED"/>
    <w:rsid w:val="00831E13"/>
    <w:rsid w:val="008339D7"/>
    <w:rsid w:val="008A55A0"/>
    <w:rsid w:val="009D2D81"/>
    <w:rsid w:val="00A06133"/>
    <w:rsid w:val="00A135DA"/>
    <w:rsid w:val="00A45321"/>
    <w:rsid w:val="00A814E0"/>
    <w:rsid w:val="00B2632C"/>
    <w:rsid w:val="00BD1944"/>
    <w:rsid w:val="00C305A2"/>
    <w:rsid w:val="00CE1C2C"/>
    <w:rsid w:val="00D1052B"/>
    <w:rsid w:val="00D71264"/>
    <w:rsid w:val="00DB35B2"/>
    <w:rsid w:val="00EE7BDB"/>
    <w:rsid w:val="00F54F40"/>
    <w:rsid w:val="00F62018"/>
    <w:rsid w:val="00FE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3BCD"/>
  <w15:docId w15:val="{6D43BB31-7FC8-4BC6-A58B-3636AD35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2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62018"/>
    <w:rPr>
      <w:sz w:val="16"/>
      <w:szCs w:val="16"/>
    </w:rPr>
  </w:style>
  <w:style w:type="paragraph" w:styleId="CommentText">
    <w:name w:val="annotation text"/>
    <w:basedOn w:val="Normal"/>
    <w:link w:val="CommentTextChar"/>
    <w:uiPriority w:val="99"/>
    <w:semiHidden/>
    <w:unhideWhenUsed/>
    <w:rsid w:val="00F62018"/>
    <w:rPr>
      <w:sz w:val="20"/>
      <w:szCs w:val="20"/>
    </w:rPr>
  </w:style>
  <w:style w:type="character" w:customStyle="1" w:styleId="CommentTextChar">
    <w:name w:val="Comment Text Char"/>
    <w:basedOn w:val="DefaultParagraphFont"/>
    <w:link w:val="CommentText"/>
    <w:uiPriority w:val="99"/>
    <w:semiHidden/>
    <w:rsid w:val="00F6201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62018"/>
    <w:rPr>
      <w:b/>
      <w:bCs/>
    </w:rPr>
  </w:style>
  <w:style w:type="character" w:customStyle="1" w:styleId="CommentSubjectChar">
    <w:name w:val="Comment Subject Char"/>
    <w:basedOn w:val="CommentTextChar"/>
    <w:link w:val="CommentSubject"/>
    <w:uiPriority w:val="99"/>
    <w:semiHidden/>
    <w:rsid w:val="00F6201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ir.ca.gov/dwc/dwcRulemaking.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gray@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1F495D-DBA2-4CFE-A4E3-722D23DF7B5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02a9b15c-e450-4307-b02c-75642b88da35"/>
    <ds:schemaRef ds:uri="08b5a114-ccd1-47d7-95c2-8d288d80d9d6"/>
    <ds:schemaRef ds:uri="http://www.w3.org/XML/1998/namespace"/>
    <ds:schemaRef ds:uri="http://purl.org/dc/terms/"/>
  </ds:schemaRefs>
</ds:datastoreItem>
</file>

<file path=customXml/itemProps2.xml><?xml version="1.0" encoding="utf-8"?>
<ds:datastoreItem xmlns:ds="http://schemas.openxmlformats.org/officeDocument/2006/customXml" ds:itemID="{A3E520D7-9306-4246-9013-4CE0A8C3BCF5}">
  <ds:schemaRefs>
    <ds:schemaRef ds:uri="http://schemas.microsoft.com/sharepoint/v3/contenttype/forms"/>
  </ds:schemaRefs>
</ds:datastoreItem>
</file>

<file path=customXml/itemProps3.xml><?xml version="1.0" encoding="utf-8"?>
<ds:datastoreItem xmlns:ds="http://schemas.openxmlformats.org/officeDocument/2006/customXml" ds:itemID="{5AF4DC00-FBD1-450A-A7E9-D3A8BE94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Hauscarriague</dc:creator>
  <cp:lastModifiedBy>Gray, Maureen@DIR</cp:lastModifiedBy>
  <cp:revision>2</cp:revision>
  <dcterms:created xsi:type="dcterms:W3CDTF">2021-12-15T19:53:00Z</dcterms:created>
  <dcterms:modified xsi:type="dcterms:W3CDTF">2021-12-15T19:53:00Z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11 for Word</vt:lpwstr>
  </property>
  <property fmtid="{D5CDD505-2E9C-101B-9397-08002B2CF9AE}" pid="4" name="LastSaved">
    <vt:filetime>2020-03-27T00:00:00Z</vt:filetime>
  </property>
  <property fmtid="{D5CDD505-2E9C-101B-9397-08002B2CF9AE}" pid="5" name="ContentTypeId">
    <vt:lpwstr>0x0101000B0782B6DAD15C47853D8396FE8F60D3</vt:lpwstr>
  </property>
</Properties>
</file>