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55D7B38A" w14:textId="77777777" w:rsidTr="007844DB">
        <w:trPr>
          <w:cantSplit/>
          <w:trHeight w:val="1160"/>
          <w:tblHeader/>
        </w:trPr>
        <w:tc>
          <w:tcPr>
            <w:tcW w:w="1998" w:type="dxa"/>
          </w:tcPr>
          <w:p w14:paraId="55964F5B" w14:textId="460C32E9" w:rsidR="007844DB" w:rsidRPr="00434ED3" w:rsidRDefault="007844DB" w:rsidP="007844DB">
            <w:pPr>
              <w:rPr>
                <w:rFonts w:ascii="Arial" w:hAnsi="Arial" w:cs="Arial"/>
                <w:b/>
                <w:sz w:val="24"/>
                <w:szCs w:val="24"/>
              </w:rPr>
            </w:pPr>
            <w:r w:rsidRPr="00434ED3">
              <w:rPr>
                <w:rFonts w:ascii="Arial" w:hAnsi="Arial" w:cs="Arial"/>
                <w:b/>
                <w:sz w:val="24"/>
                <w:szCs w:val="24"/>
              </w:rPr>
              <w:t xml:space="preserve">MTUS EVIDENCE BASED UPDATES </w:t>
            </w:r>
            <w:r w:rsidR="00450140">
              <w:rPr>
                <w:rFonts w:ascii="Arial" w:hAnsi="Arial" w:cs="Arial"/>
                <w:b/>
                <w:sz w:val="24"/>
                <w:szCs w:val="24"/>
              </w:rPr>
              <w:t>– LOW BACK</w:t>
            </w:r>
          </w:p>
        </w:tc>
        <w:tc>
          <w:tcPr>
            <w:tcW w:w="4050"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340"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7844DB">
        <w:trPr>
          <w:trHeight w:val="2150"/>
        </w:trPr>
        <w:tc>
          <w:tcPr>
            <w:tcW w:w="1998" w:type="dxa"/>
          </w:tcPr>
          <w:p w14:paraId="4F0F9DBB" w14:textId="7DEEE59B" w:rsidR="004C0491" w:rsidRDefault="0026013B" w:rsidP="004C0491">
            <w:pPr>
              <w:rPr>
                <w:rFonts w:ascii="Arial" w:hAnsi="Arial" w:cs="Arial"/>
                <w:sz w:val="24"/>
                <w:szCs w:val="24"/>
              </w:rPr>
            </w:pPr>
            <w:r>
              <w:rPr>
                <w:rFonts w:ascii="Arial" w:hAnsi="Arial" w:cs="Arial"/>
                <w:sz w:val="24"/>
                <w:szCs w:val="24"/>
              </w:rPr>
              <w:t>9792.23.5 (a)</w:t>
            </w:r>
          </w:p>
          <w:p w14:paraId="2522FEA7" w14:textId="1BABB29D" w:rsidR="00860B2A" w:rsidRDefault="0026013B" w:rsidP="0026013B">
            <w:pPr>
              <w:rPr>
                <w:rFonts w:ascii="Arial" w:hAnsi="Arial" w:cs="Arial"/>
                <w:sz w:val="24"/>
                <w:szCs w:val="24"/>
              </w:rPr>
            </w:pPr>
            <w:r>
              <w:rPr>
                <w:rFonts w:ascii="Arial" w:hAnsi="Arial" w:cs="Arial"/>
                <w:sz w:val="24"/>
                <w:szCs w:val="24"/>
              </w:rPr>
              <w:t xml:space="preserve">Low Back </w:t>
            </w:r>
            <w:r w:rsidR="0027779D">
              <w:rPr>
                <w:rFonts w:ascii="Arial" w:hAnsi="Arial" w:cs="Arial"/>
                <w:sz w:val="24"/>
                <w:szCs w:val="24"/>
              </w:rPr>
              <w:t>Disorders Guideline – Page</w:t>
            </w:r>
            <w:r w:rsidR="00337206">
              <w:rPr>
                <w:rFonts w:ascii="Arial" w:hAnsi="Arial" w:cs="Arial"/>
                <w:sz w:val="24"/>
                <w:szCs w:val="24"/>
              </w:rPr>
              <w:t>s</w:t>
            </w:r>
            <w:r w:rsidR="0027779D">
              <w:rPr>
                <w:rFonts w:ascii="Arial" w:hAnsi="Arial" w:cs="Arial"/>
                <w:sz w:val="24"/>
                <w:szCs w:val="24"/>
              </w:rPr>
              <w:t xml:space="preserve"> </w:t>
            </w:r>
            <w:r>
              <w:rPr>
                <w:rFonts w:ascii="Arial" w:hAnsi="Arial" w:cs="Arial"/>
                <w:sz w:val="24"/>
                <w:szCs w:val="24"/>
              </w:rPr>
              <w:t xml:space="preserve">102 </w:t>
            </w:r>
            <w:r w:rsidR="00337206">
              <w:rPr>
                <w:rFonts w:ascii="Arial" w:hAnsi="Arial" w:cs="Arial"/>
                <w:sz w:val="24"/>
                <w:szCs w:val="24"/>
              </w:rPr>
              <w:t xml:space="preserve">and </w:t>
            </w:r>
            <w:r>
              <w:rPr>
                <w:rFonts w:ascii="Arial" w:hAnsi="Arial" w:cs="Arial"/>
                <w:sz w:val="24"/>
                <w:szCs w:val="24"/>
              </w:rPr>
              <w:t>103</w:t>
            </w:r>
          </w:p>
        </w:tc>
        <w:tc>
          <w:tcPr>
            <w:tcW w:w="4050" w:type="dxa"/>
          </w:tcPr>
          <w:p w14:paraId="4FCE03BD" w14:textId="495D156C" w:rsidR="00337206" w:rsidRDefault="0026013B"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B578D5">
              <w:rPr>
                <w:rFonts w:ascii="Arial" w:hAnsi="Arial" w:cs="Arial"/>
                <w:color w:val="000000"/>
                <w:sz w:val="24"/>
                <w:szCs w:val="24"/>
              </w:rPr>
              <w:t>states</w:t>
            </w:r>
            <w:r>
              <w:rPr>
                <w:rFonts w:ascii="Arial" w:hAnsi="Arial" w:cs="Arial"/>
                <w:color w:val="000000"/>
                <w:sz w:val="24"/>
                <w:szCs w:val="24"/>
              </w:rPr>
              <w:t xml:space="preserve"> that in the Opioids Subacute (1-3 Months) and Chronic Pain (&gt;3 Months) section, subsection 4, title</w:t>
            </w:r>
            <w:r w:rsidR="00485FF4">
              <w:rPr>
                <w:rFonts w:ascii="Arial" w:hAnsi="Arial" w:cs="Arial"/>
                <w:color w:val="000000"/>
                <w:sz w:val="24"/>
                <w:szCs w:val="24"/>
              </w:rPr>
              <w:t>d</w:t>
            </w:r>
            <w:r>
              <w:rPr>
                <w:rFonts w:ascii="Arial" w:hAnsi="Arial" w:cs="Arial"/>
                <w:color w:val="000000"/>
                <w:sz w:val="24"/>
                <w:szCs w:val="24"/>
              </w:rPr>
              <w:t xml:space="preserve"> Recommendation: Opioid Dose Limits in Subacute and Chronic Pain, the text reads</w:t>
            </w:r>
            <w:r w:rsidR="00D02E93">
              <w:rPr>
                <w:rFonts w:ascii="Arial" w:hAnsi="Arial" w:cs="Arial"/>
                <w:color w:val="000000"/>
                <w:sz w:val="24"/>
                <w:szCs w:val="24"/>
              </w:rPr>
              <w:t xml:space="preserve"> on pages 102-103</w:t>
            </w:r>
            <w:r>
              <w:rPr>
                <w:rFonts w:ascii="Arial" w:hAnsi="Arial" w:cs="Arial"/>
                <w:color w:val="000000"/>
                <w:sz w:val="24"/>
                <w:szCs w:val="24"/>
              </w:rPr>
              <w:t>, “In rare cases with documented functional improvements occurring with use above 50 mg MED, subsequent does up to 100 mg may be considered…” The Low Back Disorders guideline also refers the reader to the Opioid guideline for various information.</w:t>
            </w:r>
          </w:p>
          <w:p w14:paraId="5E3DA3B7" w14:textId="77777777" w:rsidR="0026013B" w:rsidRDefault="0026013B" w:rsidP="00337206">
            <w:pPr>
              <w:autoSpaceDE w:val="0"/>
              <w:autoSpaceDN w:val="0"/>
              <w:adjustRightInd w:val="0"/>
              <w:rPr>
                <w:rFonts w:ascii="Arial" w:hAnsi="Arial" w:cs="Arial"/>
                <w:color w:val="000000"/>
                <w:sz w:val="24"/>
                <w:szCs w:val="24"/>
              </w:rPr>
            </w:pPr>
          </w:p>
          <w:p w14:paraId="56E8D755" w14:textId="3B7ADC44" w:rsidR="0026013B" w:rsidRDefault="0026013B"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B578D5">
              <w:rPr>
                <w:rFonts w:ascii="Arial" w:hAnsi="Arial" w:cs="Arial"/>
                <w:color w:val="000000"/>
                <w:sz w:val="24"/>
                <w:szCs w:val="24"/>
              </w:rPr>
              <w:t>note</w:t>
            </w:r>
            <w:r>
              <w:rPr>
                <w:rFonts w:ascii="Arial" w:hAnsi="Arial" w:cs="Arial"/>
                <w:color w:val="000000"/>
                <w:sz w:val="24"/>
                <w:szCs w:val="24"/>
              </w:rPr>
              <w:t>s that the same section in the Opioids guideline (MTUS effective date 12/1/2017) states, “In rare cases with document functional improvements occurring with use above 50 mg MED, subsequent does up to 90 mg may be considered…”</w:t>
            </w:r>
          </w:p>
          <w:p w14:paraId="4FC35932" w14:textId="4553F68C" w:rsidR="00B578D5" w:rsidRDefault="00B578D5" w:rsidP="00337206">
            <w:pPr>
              <w:autoSpaceDE w:val="0"/>
              <w:autoSpaceDN w:val="0"/>
              <w:adjustRightInd w:val="0"/>
              <w:rPr>
                <w:rFonts w:ascii="Arial" w:hAnsi="Arial" w:cs="Arial"/>
                <w:color w:val="000000"/>
                <w:sz w:val="24"/>
                <w:szCs w:val="24"/>
              </w:rPr>
            </w:pPr>
          </w:p>
          <w:p w14:paraId="41262CC8" w14:textId="23FB53C9" w:rsidR="00B578D5" w:rsidRDefault="00B578D5" w:rsidP="0033720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questions if the 100 mg MED limit applies only to treatment </w:t>
            </w:r>
            <w:r>
              <w:rPr>
                <w:rFonts w:ascii="Arial" w:hAnsi="Arial" w:cs="Arial"/>
                <w:color w:val="000000"/>
                <w:sz w:val="24"/>
                <w:szCs w:val="24"/>
              </w:rPr>
              <w:lastRenderedPageBreak/>
              <w:t>of subacute and chronic low back pain, with 90 mg MED limit applying to subacute and chronic pain unrelated to the low back, or is one or the other of these limits intended to apply to all subacute and chronic pain conditions. If the latter, which should be cited?</w:t>
            </w:r>
          </w:p>
          <w:p w14:paraId="0A5D3212" w14:textId="5DACF86D" w:rsidR="00B578D5" w:rsidRDefault="00B578D5" w:rsidP="00337206">
            <w:pPr>
              <w:autoSpaceDE w:val="0"/>
              <w:autoSpaceDN w:val="0"/>
              <w:adjustRightInd w:val="0"/>
              <w:rPr>
                <w:rFonts w:ascii="Arial" w:hAnsi="Arial" w:cs="Arial"/>
                <w:color w:val="000000"/>
                <w:sz w:val="24"/>
                <w:szCs w:val="24"/>
              </w:rPr>
            </w:pPr>
          </w:p>
        </w:tc>
        <w:tc>
          <w:tcPr>
            <w:tcW w:w="2340" w:type="dxa"/>
          </w:tcPr>
          <w:p w14:paraId="34568C1F" w14:textId="77777777" w:rsidR="003F46BB" w:rsidRDefault="0027779D" w:rsidP="00B318DB">
            <w:pPr>
              <w:rPr>
                <w:rFonts w:ascii="Arial" w:hAnsi="Arial" w:cs="Arial"/>
                <w:sz w:val="24"/>
                <w:szCs w:val="24"/>
              </w:rPr>
            </w:pPr>
            <w:r>
              <w:rPr>
                <w:rFonts w:ascii="Arial" w:hAnsi="Arial" w:cs="Arial"/>
                <w:sz w:val="24"/>
                <w:szCs w:val="24"/>
              </w:rPr>
              <w:lastRenderedPageBreak/>
              <w:t>Erin Kuecker, Clinical Pharmacist</w:t>
            </w:r>
          </w:p>
          <w:p w14:paraId="774A41D9" w14:textId="77777777" w:rsidR="0027779D" w:rsidRDefault="0027779D" w:rsidP="00B318DB">
            <w:pPr>
              <w:rPr>
                <w:rFonts w:ascii="Arial" w:hAnsi="Arial" w:cs="Arial"/>
                <w:sz w:val="24"/>
                <w:szCs w:val="24"/>
              </w:rPr>
            </w:pPr>
            <w:r>
              <w:rPr>
                <w:rFonts w:ascii="Arial" w:hAnsi="Arial" w:cs="Arial"/>
                <w:sz w:val="24"/>
                <w:szCs w:val="24"/>
              </w:rPr>
              <w:t>Optum</w:t>
            </w:r>
          </w:p>
          <w:p w14:paraId="76CD11B2" w14:textId="64F26BCB" w:rsidR="003F46BB" w:rsidRDefault="0026013B" w:rsidP="00B318DB">
            <w:pPr>
              <w:rPr>
                <w:rFonts w:ascii="Arial" w:hAnsi="Arial" w:cs="Arial"/>
                <w:sz w:val="24"/>
                <w:szCs w:val="24"/>
              </w:rPr>
            </w:pPr>
            <w:r>
              <w:rPr>
                <w:rFonts w:ascii="Arial" w:hAnsi="Arial" w:cs="Arial"/>
                <w:sz w:val="24"/>
                <w:szCs w:val="24"/>
              </w:rPr>
              <w:t>August 30, 2021</w:t>
            </w:r>
          </w:p>
          <w:p w14:paraId="342CE136" w14:textId="77777777" w:rsidR="003F46BB" w:rsidRDefault="003F46BB" w:rsidP="00B318DB">
            <w:pPr>
              <w:rPr>
                <w:rFonts w:ascii="Arial" w:hAnsi="Arial" w:cs="Arial"/>
                <w:sz w:val="24"/>
                <w:szCs w:val="24"/>
              </w:rPr>
            </w:pPr>
            <w:r>
              <w:rPr>
                <w:rFonts w:ascii="Arial" w:hAnsi="Arial" w:cs="Arial"/>
                <w:sz w:val="24"/>
                <w:szCs w:val="24"/>
              </w:rPr>
              <w:t>Written Comment</w:t>
            </w:r>
          </w:p>
        </w:tc>
        <w:tc>
          <w:tcPr>
            <w:tcW w:w="3240" w:type="dxa"/>
          </w:tcPr>
          <w:p w14:paraId="38C89EB9" w14:textId="0417834F" w:rsidR="00860B2A" w:rsidRDefault="00D90EAD" w:rsidP="007B6BE2">
            <w:pPr>
              <w:rPr>
                <w:rFonts w:ascii="Arial" w:hAnsi="Arial" w:cs="Arial"/>
                <w:sz w:val="24"/>
                <w:szCs w:val="24"/>
              </w:rPr>
            </w:pPr>
            <w:r>
              <w:rPr>
                <w:rFonts w:ascii="Arial" w:hAnsi="Arial" w:cs="Arial"/>
                <w:sz w:val="24"/>
                <w:szCs w:val="24"/>
              </w:rPr>
              <w:t>Agree, this recommendation is ambiguous</w:t>
            </w:r>
            <w:r w:rsidR="007B6BE2">
              <w:rPr>
                <w:rFonts w:ascii="Arial" w:hAnsi="Arial" w:cs="Arial"/>
                <w:sz w:val="24"/>
                <w:szCs w:val="24"/>
              </w:rPr>
              <w:t xml:space="preserve">. </w:t>
            </w:r>
            <w:r w:rsidR="006E58E1">
              <w:rPr>
                <w:rFonts w:ascii="Arial" w:hAnsi="Arial" w:cs="Arial"/>
                <w:sz w:val="24"/>
                <w:szCs w:val="24"/>
              </w:rPr>
              <w:t xml:space="preserve">DWC ran this comment by ACOEM and it was confirmed that this was a non-substantive editing issue. </w:t>
            </w:r>
            <w:r w:rsidR="007B6BE2">
              <w:rPr>
                <w:rFonts w:ascii="Arial" w:hAnsi="Arial" w:cs="Arial"/>
                <w:sz w:val="24"/>
                <w:szCs w:val="24"/>
              </w:rPr>
              <w:t>ACOEM had originally had an upper dose limit of 100mg. Center for Disease Control (CDC) later published a dose limit of 90mg and ACOEM reduced the upper dose limit to 90mg so that there was no difference with CDC’s dose limit, but missed changing the dose limit in this guideline. Thus, dose limits should be the same in all circumstances and it should be 90mg in the Low Back Disorders Guideline.</w:t>
            </w:r>
            <w:bookmarkStart w:id="0" w:name="_GoBack"/>
            <w:bookmarkEnd w:id="0"/>
          </w:p>
        </w:tc>
        <w:tc>
          <w:tcPr>
            <w:tcW w:w="2325" w:type="dxa"/>
          </w:tcPr>
          <w:p w14:paraId="037DEB57" w14:textId="28D12EA8" w:rsidR="00860B2A" w:rsidRPr="00434ED3" w:rsidRDefault="00E861AC" w:rsidP="001271D1">
            <w:pPr>
              <w:autoSpaceDE w:val="0"/>
              <w:autoSpaceDN w:val="0"/>
              <w:adjustRightInd w:val="0"/>
              <w:rPr>
                <w:rFonts w:ascii="Arial" w:hAnsi="Arial" w:cs="Arial"/>
                <w:sz w:val="24"/>
                <w:szCs w:val="24"/>
              </w:rPr>
            </w:pPr>
            <w:r>
              <w:rPr>
                <w:rFonts w:ascii="Arial" w:hAnsi="Arial" w:cs="Arial"/>
                <w:sz w:val="24"/>
                <w:szCs w:val="24"/>
              </w:rPr>
              <w:t>As a result of this comment</w:t>
            </w:r>
            <w:r w:rsidR="003B19F5">
              <w:rPr>
                <w:rFonts w:ascii="Arial" w:hAnsi="Arial" w:cs="Arial"/>
                <w:sz w:val="24"/>
                <w:szCs w:val="24"/>
              </w:rPr>
              <w:t>,</w:t>
            </w:r>
            <w:r w:rsidR="00261785">
              <w:rPr>
                <w:rFonts w:ascii="Arial" w:hAnsi="Arial" w:cs="Arial"/>
                <w:sz w:val="24"/>
                <w:szCs w:val="24"/>
              </w:rPr>
              <w:t xml:space="preserve"> the upper dose limit in the Low Back Disorders Guideline</w:t>
            </w:r>
            <w:r w:rsidR="00D02E93">
              <w:rPr>
                <w:rFonts w:ascii="Arial" w:hAnsi="Arial" w:cs="Arial"/>
                <w:sz w:val="24"/>
                <w:szCs w:val="24"/>
              </w:rPr>
              <w:t xml:space="preserve"> on page 102-103</w:t>
            </w:r>
            <w:r w:rsidR="00261785">
              <w:rPr>
                <w:rFonts w:ascii="Arial" w:hAnsi="Arial" w:cs="Arial"/>
                <w:sz w:val="24"/>
                <w:szCs w:val="24"/>
              </w:rPr>
              <w:t xml:space="preserve"> has been amended to read: </w:t>
            </w:r>
            <w:r w:rsidR="00D0681E" w:rsidRPr="00D0681E">
              <w:rPr>
                <w:rFonts w:ascii="Arial" w:hAnsi="Arial" w:cs="Arial"/>
                <w:color w:val="000000"/>
                <w:sz w:val="24"/>
                <w:szCs w:val="24"/>
              </w:rPr>
              <w:t xml:space="preserve">“In rare cases with documented functional improvements occurring with use above 50 mg MED, </w:t>
            </w:r>
            <w:r>
              <w:rPr>
                <w:rFonts w:ascii="Arial" w:hAnsi="Arial" w:cs="Arial"/>
                <w:color w:val="000000"/>
                <w:sz w:val="24"/>
                <w:szCs w:val="24"/>
              </w:rPr>
              <w:t xml:space="preserve">subsequent doses </w:t>
            </w:r>
            <w:r w:rsidR="00D0681E" w:rsidRPr="00D0681E">
              <w:rPr>
                <w:rFonts w:ascii="Arial" w:hAnsi="Arial" w:cs="Arial"/>
                <w:color w:val="000000"/>
                <w:sz w:val="24"/>
                <w:szCs w:val="24"/>
              </w:rPr>
              <w:t>up to 90 mg may be considered…”</w:t>
            </w:r>
            <w:r w:rsidR="00D0681E">
              <w:rPr>
                <w:rFonts w:ascii="Arial" w:hAnsi="Arial" w:cs="Arial"/>
                <w:color w:val="000000"/>
                <w:sz w:val="24"/>
                <w:szCs w:val="24"/>
              </w:rPr>
              <w:t xml:space="preserve"> </w:t>
            </w:r>
            <w:r w:rsidR="00261785">
              <w:rPr>
                <w:rFonts w:ascii="Arial" w:hAnsi="Arial" w:cs="Arial"/>
                <w:sz w:val="24"/>
                <w:szCs w:val="24"/>
              </w:rPr>
              <w:t xml:space="preserve"> </w:t>
            </w:r>
          </w:p>
        </w:tc>
      </w:tr>
      <w:tr w:rsidR="00473845" w:rsidRPr="00434ED3" w14:paraId="6CDCAE6D" w14:textId="77777777" w:rsidTr="007844DB">
        <w:trPr>
          <w:trHeight w:val="2150"/>
        </w:trPr>
        <w:tc>
          <w:tcPr>
            <w:tcW w:w="1998" w:type="dxa"/>
          </w:tcPr>
          <w:p w14:paraId="76308149" w14:textId="77777777" w:rsidR="00473845" w:rsidRDefault="00473845" w:rsidP="00473845">
            <w:pPr>
              <w:rPr>
                <w:rFonts w:ascii="Arial" w:hAnsi="Arial" w:cs="Arial"/>
                <w:sz w:val="24"/>
                <w:szCs w:val="24"/>
              </w:rPr>
            </w:pPr>
            <w:r>
              <w:rPr>
                <w:rFonts w:ascii="Arial" w:hAnsi="Arial" w:cs="Arial"/>
                <w:sz w:val="24"/>
                <w:szCs w:val="24"/>
              </w:rPr>
              <w:t>9792.23.5 (a)</w:t>
            </w:r>
          </w:p>
          <w:p w14:paraId="7E85A768" w14:textId="5FD3BF8A" w:rsidR="00473845" w:rsidRDefault="00473845" w:rsidP="00473845">
            <w:pPr>
              <w:rPr>
                <w:rFonts w:ascii="Arial" w:hAnsi="Arial" w:cs="Arial"/>
                <w:sz w:val="24"/>
                <w:szCs w:val="24"/>
              </w:rPr>
            </w:pPr>
            <w:r>
              <w:rPr>
                <w:rFonts w:ascii="Arial" w:hAnsi="Arial" w:cs="Arial"/>
                <w:sz w:val="24"/>
                <w:szCs w:val="24"/>
              </w:rPr>
              <w:t>Low Back Disorders Guideline – Page 81</w:t>
            </w:r>
          </w:p>
        </w:tc>
        <w:tc>
          <w:tcPr>
            <w:tcW w:w="4050" w:type="dxa"/>
          </w:tcPr>
          <w:p w14:paraId="05ACD1CC" w14:textId="3147AE31" w:rsidR="00473845" w:rsidRDefault="008D080A" w:rsidP="00473845">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notes </w:t>
            </w:r>
            <w:r w:rsidR="00D0681E">
              <w:rPr>
                <w:rFonts w:ascii="Arial" w:hAnsi="Arial" w:cs="Arial"/>
                <w:color w:val="000000"/>
                <w:sz w:val="24"/>
                <w:szCs w:val="24"/>
              </w:rPr>
              <w:t xml:space="preserve">the following statement on </w:t>
            </w:r>
            <w:r>
              <w:rPr>
                <w:rFonts w:ascii="Arial" w:hAnsi="Arial" w:cs="Arial"/>
                <w:color w:val="000000"/>
                <w:sz w:val="24"/>
                <w:szCs w:val="24"/>
              </w:rPr>
              <w:t>page</w:t>
            </w:r>
            <w:r w:rsidR="00D0681E">
              <w:rPr>
                <w:rFonts w:ascii="Arial" w:hAnsi="Arial" w:cs="Arial"/>
                <w:color w:val="000000"/>
                <w:sz w:val="24"/>
                <w:szCs w:val="24"/>
              </w:rPr>
              <w:t xml:space="preserve"> 81</w:t>
            </w:r>
            <w:r>
              <w:rPr>
                <w:rFonts w:ascii="Arial" w:hAnsi="Arial" w:cs="Arial"/>
                <w:color w:val="000000"/>
                <w:sz w:val="24"/>
                <w:szCs w:val="24"/>
              </w:rPr>
              <w:t>:</w:t>
            </w:r>
          </w:p>
          <w:p w14:paraId="0BF1C5CA" w14:textId="77777777" w:rsidR="008D080A" w:rsidRDefault="008D080A" w:rsidP="00473845">
            <w:pPr>
              <w:autoSpaceDE w:val="0"/>
              <w:autoSpaceDN w:val="0"/>
              <w:adjustRightInd w:val="0"/>
              <w:rPr>
                <w:rFonts w:ascii="Arial" w:hAnsi="Arial" w:cs="Arial"/>
                <w:color w:val="000000"/>
                <w:sz w:val="24"/>
                <w:szCs w:val="24"/>
              </w:rPr>
            </w:pPr>
          </w:p>
          <w:p w14:paraId="5336D6D0" w14:textId="77777777" w:rsidR="008D080A" w:rsidRDefault="008D080A" w:rsidP="008D080A">
            <w:pPr>
              <w:autoSpaceDE w:val="0"/>
              <w:autoSpaceDN w:val="0"/>
              <w:adjustRightInd w:val="0"/>
              <w:rPr>
                <w:rFonts w:ascii="Arial" w:hAnsi="Arial" w:cs="Arial"/>
                <w:color w:val="000000"/>
                <w:sz w:val="24"/>
                <w:szCs w:val="24"/>
              </w:rPr>
            </w:pPr>
            <w:r>
              <w:rPr>
                <w:rFonts w:ascii="Arial" w:hAnsi="Arial" w:cs="Arial"/>
                <w:color w:val="000000"/>
                <w:sz w:val="24"/>
                <w:szCs w:val="24"/>
              </w:rPr>
              <w:t>‘Recommendation: NSAIDs for Patients at Risk for GI Adverse Effects’ states, “There are four commonly used cytoprotective classes of drugs: misoprostol, sucralfate, double-based histamine Type 2 receptor blockers (famotidine, ranitidine, etc.), and proton pump inhibitors…”</w:t>
            </w:r>
          </w:p>
          <w:p w14:paraId="1503C963" w14:textId="77777777" w:rsidR="008D080A" w:rsidRDefault="008D080A" w:rsidP="008D080A">
            <w:pPr>
              <w:autoSpaceDE w:val="0"/>
              <w:autoSpaceDN w:val="0"/>
              <w:adjustRightInd w:val="0"/>
              <w:rPr>
                <w:rFonts w:ascii="Arial" w:hAnsi="Arial" w:cs="Arial"/>
                <w:color w:val="000000"/>
                <w:sz w:val="24"/>
                <w:szCs w:val="24"/>
              </w:rPr>
            </w:pPr>
          </w:p>
          <w:p w14:paraId="687433F2" w14:textId="544B8069" w:rsidR="008D080A" w:rsidRDefault="008D080A" w:rsidP="008D080A">
            <w:pPr>
              <w:autoSpaceDE w:val="0"/>
              <w:autoSpaceDN w:val="0"/>
              <w:adjustRightInd w:val="0"/>
              <w:rPr>
                <w:rFonts w:ascii="Arial" w:hAnsi="Arial" w:cs="Arial"/>
                <w:color w:val="000000"/>
                <w:sz w:val="24"/>
                <w:szCs w:val="24"/>
              </w:rPr>
            </w:pPr>
            <w:r>
              <w:rPr>
                <w:rFonts w:ascii="Arial" w:hAnsi="Arial" w:cs="Arial"/>
                <w:color w:val="000000"/>
                <w:sz w:val="24"/>
                <w:szCs w:val="24"/>
              </w:rPr>
              <w:t>Commenters seeks clarification of that is meant by “double-dose” H2 blockers.</w:t>
            </w:r>
          </w:p>
        </w:tc>
        <w:tc>
          <w:tcPr>
            <w:tcW w:w="2340" w:type="dxa"/>
          </w:tcPr>
          <w:p w14:paraId="6BB9D42D" w14:textId="77777777" w:rsidR="00473845" w:rsidRDefault="00473845" w:rsidP="00473845">
            <w:pPr>
              <w:rPr>
                <w:rFonts w:ascii="Arial" w:hAnsi="Arial" w:cs="Arial"/>
                <w:sz w:val="24"/>
                <w:szCs w:val="24"/>
              </w:rPr>
            </w:pPr>
            <w:r>
              <w:rPr>
                <w:rFonts w:ascii="Arial" w:hAnsi="Arial" w:cs="Arial"/>
                <w:sz w:val="24"/>
                <w:szCs w:val="24"/>
              </w:rPr>
              <w:t>Erin Kuecker, Clinical Pharmacist</w:t>
            </w:r>
          </w:p>
          <w:p w14:paraId="530DB044" w14:textId="77777777" w:rsidR="00473845" w:rsidRDefault="00473845" w:rsidP="00473845">
            <w:pPr>
              <w:rPr>
                <w:rFonts w:ascii="Arial" w:hAnsi="Arial" w:cs="Arial"/>
                <w:sz w:val="24"/>
                <w:szCs w:val="24"/>
              </w:rPr>
            </w:pPr>
            <w:r>
              <w:rPr>
                <w:rFonts w:ascii="Arial" w:hAnsi="Arial" w:cs="Arial"/>
                <w:sz w:val="24"/>
                <w:szCs w:val="24"/>
              </w:rPr>
              <w:t>Optum</w:t>
            </w:r>
          </w:p>
          <w:p w14:paraId="4F300C86" w14:textId="68E60559" w:rsidR="00473845" w:rsidRDefault="00473845" w:rsidP="00473845">
            <w:pPr>
              <w:rPr>
                <w:rFonts w:ascii="Arial" w:hAnsi="Arial" w:cs="Arial"/>
                <w:sz w:val="24"/>
                <w:szCs w:val="24"/>
              </w:rPr>
            </w:pPr>
            <w:r>
              <w:rPr>
                <w:rFonts w:ascii="Arial" w:hAnsi="Arial" w:cs="Arial"/>
                <w:sz w:val="24"/>
                <w:szCs w:val="24"/>
              </w:rPr>
              <w:t>September 1, 2021</w:t>
            </w:r>
          </w:p>
          <w:p w14:paraId="4CF9ABCC" w14:textId="015D5922" w:rsidR="00473845" w:rsidRDefault="00473845" w:rsidP="00473845">
            <w:pPr>
              <w:rPr>
                <w:rFonts w:ascii="Arial" w:hAnsi="Arial" w:cs="Arial"/>
                <w:sz w:val="24"/>
                <w:szCs w:val="24"/>
              </w:rPr>
            </w:pPr>
            <w:r>
              <w:rPr>
                <w:rFonts w:ascii="Arial" w:hAnsi="Arial" w:cs="Arial"/>
                <w:sz w:val="24"/>
                <w:szCs w:val="24"/>
              </w:rPr>
              <w:t>Written Comment</w:t>
            </w:r>
          </w:p>
        </w:tc>
        <w:tc>
          <w:tcPr>
            <w:tcW w:w="3240" w:type="dxa"/>
          </w:tcPr>
          <w:p w14:paraId="214085A1" w14:textId="4891FD75" w:rsidR="00473845" w:rsidRDefault="00D0681E" w:rsidP="00473845">
            <w:pPr>
              <w:rPr>
                <w:rFonts w:ascii="Arial" w:hAnsi="Arial" w:cs="Arial"/>
                <w:sz w:val="24"/>
                <w:szCs w:val="24"/>
              </w:rPr>
            </w:pPr>
            <w:r>
              <w:rPr>
                <w:rFonts w:ascii="Arial" w:hAnsi="Arial" w:cs="Arial"/>
                <w:sz w:val="24"/>
                <w:szCs w:val="24"/>
              </w:rPr>
              <w:t>Agree, the phrase “double-dose H2 blockers” is ambiguous</w:t>
            </w:r>
            <w:r w:rsidR="00D74779">
              <w:rPr>
                <w:rFonts w:ascii="Arial" w:hAnsi="Arial" w:cs="Arial"/>
                <w:sz w:val="24"/>
                <w:szCs w:val="24"/>
              </w:rPr>
              <w:t xml:space="preserve"> and</w:t>
            </w:r>
            <w:r>
              <w:rPr>
                <w:rFonts w:ascii="Arial" w:hAnsi="Arial" w:cs="Arial"/>
                <w:sz w:val="24"/>
                <w:szCs w:val="24"/>
              </w:rPr>
              <w:t xml:space="preserve"> not defined. DWC ran this comment by ACOEM and it was confirmed that this was also</w:t>
            </w:r>
            <w:r w:rsidR="00911EB8">
              <w:rPr>
                <w:rFonts w:ascii="Arial" w:hAnsi="Arial" w:cs="Arial"/>
                <w:sz w:val="24"/>
                <w:szCs w:val="24"/>
              </w:rPr>
              <w:t xml:space="preserve"> a non-substantive typographical error</w:t>
            </w:r>
            <w:r>
              <w:rPr>
                <w:rFonts w:ascii="Arial" w:hAnsi="Arial" w:cs="Arial"/>
                <w:sz w:val="24"/>
                <w:szCs w:val="24"/>
              </w:rPr>
              <w:t>. Here is their response.</w:t>
            </w:r>
            <w:r w:rsidR="00D74779">
              <w:rPr>
                <w:rFonts w:ascii="Arial" w:hAnsi="Arial" w:cs="Arial"/>
                <w:sz w:val="24"/>
                <w:szCs w:val="24"/>
              </w:rPr>
              <w:t xml:space="preserve"> “This is a </w:t>
            </w:r>
            <w:r w:rsidR="00911EB8">
              <w:rPr>
                <w:rFonts w:ascii="Arial" w:hAnsi="Arial" w:cs="Arial"/>
                <w:sz w:val="24"/>
                <w:szCs w:val="24"/>
              </w:rPr>
              <w:t>typo. The words ‘double-dose’</w:t>
            </w:r>
            <w:r w:rsidR="00D74779">
              <w:rPr>
                <w:rFonts w:ascii="Arial" w:hAnsi="Arial" w:cs="Arial"/>
                <w:sz w:val="24"/>
                <w:szCs w:val="24"/>
              </w:rPr>
              <w:t xml:space="preserve"> should be deleted. These medications are histamine type 2 blockers, or histamine-2 blockers.”</w:t>
            </w:r>
          </w:p>
        </w:tc>
        <w:tc>
          <w:tcPr>
            <w:tcW w:w="2325" w:type="dxa"/>
          </w:tcPr>
          <w:p w14:paraId="43534722" w14:textId="5F7634EE" w:rsidR="00473845" w:rsidRDefault="00911EB8" w:rsidP="00473845">
            <w:pPr>
              <w:rPr>
                <w:rFonts w:ascii="Arial" w:hAnsi="Arial" w:cs="Arial"/>
                <w:sz w:val="24"/>
                <w:szCs w:val="24"/>
              </w:rPr>
            </w:pPr>
            <w:r>
              <w:rPr>
                <w:rFonts w:ascii="Arial" w:hAnsi="Arial" w:cs="Arial"/>
                <w:sz w:val="24"/>
                <w:szCs w:val="24"/>
              </w:rPr>
              <w:t>As a result of this comment, the word “double-dose” has been deleted from page</w:t>
            </w:r>
            <w:r w:rsidR="00543A6E">
              <w:rPr>
                <w:rFonts w:ascii="Arial" w:hAnsi="Arial" w:cs="Arial"/>
                <w:sz w:val="24"/>
                <w:szCs w:val="24"/>
              </w:rPr>
              <w:t>s</w:t>
            </w:r>
            <w:r>
              <w:rPr>
                <w:rFonts w:ascii="Arial" w:hAnsi="Arial" w:cs="Arial"/>
                <w:sz w:val="24"/>
                <w:szCs w:val="24"/>
              </w:rPr>
              <w:t xml:space="preserve"> 81 and 83 and replaced with “histamine type 2”</w:t>
            </w:r>
            <w:r w:rsidR="003B19F5">
              <w:rPr>
                <w:rFonts w:ascii="Arial" w:hAnsi="Arial" w:cs="Arial"/>
                <w:sz w:val="24"/>
                <w:szCs w:val="24"/>
              </w:rPr>
              <w:t xml:space="preserve"> or histamine-2”</w:t>
            </w:r>
            <w:r w:rsidR="00543A6E">
              <w:rPr>
                <w:rFonts w:ascii="Arial" w:hAnsi="Arial" w:cs="Arial"/>
                <w:sz w:val="24"/>
                <w:szCs w:val="24"/>
              </w:rPr>
              <w:t xml:space="preserve"> blockers </w:t>
            </w:r>
            <w:r w:rsidR="003B19F5">
              <w:rPr>
                <w:rFonts w:ascii="Arial" w:hAnsi="Arial" w:cs="Arial"/>
                <w:sz w:val="24"/>
                <w:szCs w:val="24"/>
              </w:rPr>
              <w:t xml:space="preserve">respectively. </w:t>
            </w:r>
          </w:p>
        </w:tc>
      </w:tr>
      <w:tr w:rsidR="004C0491" w:rsidRPr="00434ED3" w14:paraId="54836FC7" w14:textId="77777777" w:rsidTr="007844DB">
        <w:trPr>
          <w:trHeight w:val="2150"/>
        </w:trPr>
        <w:tc>
          <w:tcPr>
            <w:tcW w:w="1998" w:type="dxa"/>
          </w:tcPr>
          <w:p w14:paraId="0CD7B248" w14:textId="77777777" w:rsidR="005A1457" w:rsidRDefault="005A1457" w:rsidP="005A1457">
            <w:pPr>
              <w:rPr>
                <w:rFonts w:ascii="Arial" w:hAnsi="Arial" w:cs="Arial"/>
                <w:sz w:val="24"/>
                <w:szCs w:val="24"/>
              </w:rPr>
            </w:pPr>
            <w:r>
              <w:rPr>
                <w:rFonts w:ascii="Arial" w:hAnsi="Arial" w:cs="Arial"/>
                <w:sz w:val="24"/>
                <w:szCs w:val="24"/>
              </w:rPr>
              <w:lastRenderedPageBreak/>
              <w:t>9792.23.5 (a)</w:t>
            </w:r>
          </w:p>
          <w:p w14:paraId="4B8B23BA" w14:textId="49DF19FF" w:rsidR="004C0491" w:rsidRDefault="005A1457" w:rsidP="005A1457">
            <w:pPr>
              <w:rPr>
                <w:rFonts w:ascii="Arial" w:hAnsi="Arial" w:cs="Arial"/>
                <w:sz w:val="24"/>
                <w:szCs w:val="24"/>
              </w:rPr>
            </w:pPr>
            <w:r>
              <w:rPr>
                <w:rFonts w:ascii="Arial" w:hAnsi="Arial" w:cs="Arial"/>
                <w:sz w:val="24"/>
                <w:szCs w:val="24"/>
              </w:rPr>
              <w:t>Low Back Disorders Guideline</w:t>
            </w:r>
          </w:p>
        </w:tc>
        <w:tc>
          <w:tcPr>
            <w:tcW w:w="4050" w:type="dxa"/>
          </w:tcPr>
          <w:p w14:paraId="33E680F8" w14:textId="77777777" w:rsidR="004C0491" w:rsidRDefault="0031683F" w:rsidP="0027779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27779D">
              <w:rPr>
                <w:rFonts w:ascii="Arial" w:hAnsi="Arial" w:cs="Arial"/>
                <w:color w:val="000000"/>
                <w:sz w:val="24"/>
                <w:szCs w:val="24"/>
              </w:rPr>
              <w:t>has reviewed the proposed update and has no comment at this time.</w:t>
            </w:r>
          </w:p>
        </w:tc>
        <w:tc>
          <w:tcPr>
            <w:tcW w:w="2340" w:type="dxa"/>
          </w:tcPr>
          <w:p w14:paraId="2CEE813D" w14:textId="77777777" w:rsidR="004C0491" w:rsidRDefault="004C0491" w:rsidP="004C0491">
            <w:pPr>
              <w:rPr>
                <w:rFonts w:ascii="Arial" w:hAnsi="Arial" w:cs="Arial"/>
                <w:sz w:val="24"/>
                <w:szCs w:val="24"/>
              </w:rPr>
            </w:pPr>
            <w:r>
              <w:rPr>
                <w:rFonts w:ascii="Arial" w:hAnsi="Arial" w:cs="Arial"/>
                <w:sz w:val="24"/>
                <w:szCs w:val="24"/>
              </w:rPr>
              <w:t>Andrea Guzman</w:t>
            </w:r>
          </w:p>
          <w:p w14:paraId="54E0BE27" w14:textId="77777777" w:rsidR="004C0491" w:rsidRDefault="004C0491" w:rsidP="004C0491">
            <w:pPr>
              <w:rPr>
                <w:rFonts w:ascii="Arial" w:hAnsi="Arial" w:cs="Arial"/>
                <w:sz w:val="24"/>
                <w:szCs w:val="24"/>
              </w:rPr>
            </w:pPr>
            <w:r>
              <w:rPr>
                <w:rFonts w:ascii="Arial" w:hAnsi="Arial" w:cs="Arial"/>
                <w:sz w:val="24"/>
                <w:szCs w:val="24"/>
              </w:rPr>
              <w:t>Claims Regulatory Director</w:t>
            </w:r>
          </w:p>
          <w:p w14:paraId="4CEBB276" w14:textId="77777777" w:rsidR="004C0491" w:rsidRDefault="004C0491" w:rsidP="004C0491">
            <w:pPr>
              <w:rPr>
                <w:rFonts w:ascii="Arial" w:hAnsi="Arial" w:cs="Arial"/>
                <w:sz w:val="24"/>
                <w:szCs w:val="24"/>
              </w:rPr>
            </w:pPr>
            <w:r>
              <w:rPr>
                <w:rFonts w:ascii="Arial" w:hAnsi="Arial" w:cs="Arial"/>
                <w:sz w:val="24"/>
                <w:szCs w:val="24"/>
              </w:rPr>
              <w:t>State Compensation Insurance Fund (SCIF)</w:t>
            </w:r>
          </w:p>
          <w:p w14:paraId="092A3FF9" w14:textId="31DA5884" w:rsidR="004C0491" w:rsidRDefault="002B4001" w:rsidP="004C0491">
            <w:pPr>
              <w:rPr>
                <w:rFonts w:ascii="Arial" w:hAnsi="Arial" w:cs="Arial"/>
                <w:sz w:val="24"/>
                <w:szCs w:val="24"/>
              </w:rPr>
            </w:pPr>
            <w:r>
              <w:rPr>
                <w:rFonts w:ascii="Arial" w:hAnsi="Arial" w:cs="Arial"/>
                <w:sz w:val="24"/>
                <w:szCs w:val="24"/>
              </w:rPr>
              <w:t>September 15</w:t>
            </w:r>
            <w:r w:rsidR="000167AC">
              <w:rPr>
                <w:rFonts w:ascii="Arial" w:hAnsi="Arial" w:cs="Arial"/>
                <w:sz w:val="24"/>
                <w:szCs w:val="24"/>
              </w:rPr>
              <w:t>, 2021</w:t>
            </w:r>
          </w:p>
          <w:p w14:paraId="34E4E489" w14:textId="77777777" w:rsidR="004C0491" w:rsidRDefault="004C0491" w:rsidP="004C0491">
            <w:pPr>
              <w:rPr>
                <w:rFonts w:ascii="Arial" w:hAnsi="Arial" w:cs="Arial"/>
                <w:sz w:val="24"/>
                <w:szCs w:val="24"/>
              </w:rPr>
            </w:pPr>
            <w:r>
              <w:rPr>
                <w:rFonts w:ascii="Arial" w:hAnsi="Arial" w:cs="Arial"/>
                <w:sz w:val="24"/>
                <w:szCs w:val="24"/>
              </w:rPr>
              <w:t>Written Comment</w:t>
            </w:r>
          </w:p>
        </w:tc>
        <w:tc>
          <w:tcPr>
            <w:tcW w:w="3240" w:type="dxa"/>
          </w:tcPr>
          <w:p w14:paraId="4C2034A2" w14:textId="77777777" w:rsidR="004C0491" w:rsidRDefault="0027779D" w:rsidP="004C0491">
            <w:pPr>
              <w:rPr>
                <w:rFonts w:ascii="Arial" w:hAnsi="Arial" w:cs="Arial"/>
                <w:sz w:val="24"/>
                <w:szCs w:val="24"/>
              </w:rPr>
            </w:pPr>
            <w:r>
              <w:rPr>
                <w:rFonts w:ascii="Arial" w:hAnsi="Arial" w:cs="Arial"/>
                <w:sz w:val="24"/>
                <w:szCs w:val="24"/>
              </w:rPr>
              <w:t>Noted.</w:t>
            </w:r>
          </w:p>
        </w:tc>
        <w:tc>
          <w:tcPr>
            <w:tcW w:w="2325" w:type="dxa"/>
          </w:tcPr>
          <w:p w14:paraId="0A901507" w14:textId="77777777" w:rsidR="004C0491" w:rsidRDefault="0027779D" w:rsidP="004C0491">
            <w:pPr>
              <w:rPr>
                <w:rFonts w:ascii="Arial" w:hAnsi="Arial" w:cs="Arial"/>
                <w:sz w:val="24"/>
                <w:szCs w:val="24"/>
              </w:rPr>
            </w:pPr>
            <w:r>
              <w:rPr>
                <w:rFonts w:ascii="Arial" w:hAnsi="Arial" w:cs="Arial"/>
                <w:sz w:val="24"/>
                <w:szCs w:val="24"/>
              </w:rPr>
              <w:t>None.</w:t>
            </w: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6758" w14:textId="77777777" w:rsidR="00A51E5A" w:rsidRDefault="00A51E5A">
      <w:r>
        <w:separator/>
      </w:r>
    </w:p>
  </w:endnote>
  <w:endnote w:type="continuationSeparator" w:id="0">
    <w:p w14:paraId="2CEA0853" w14:textId="77777777" w:rsidR="00A51E5A" w:rsidRDefault="00A5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8AF" w14:textId="7A7FE840" w:rsidR="0016676E" w:rsidRDefault="0016676E" w:rsidP="00B36543">
    <w:pPr>
      <w:pStyle w:val="Footer"/>
      <w:jc w:val="right"/>
    </w:pPr>
    <w:r>
      <w:t xml:space="preserve">Page </w:t>
    </w:r>
    <w:r>
      <w:fldChar w:fldCharType="begin"/>
    </w:r>
    <w:r>
      <w:instrText xml:space="preserve"> PAGE </w:instrText>
    </w:r>
    <w:r>
      <w:fldChar w:fldCharType="separate"/>
    </w:r>
    <w:r w:rsidR="007B6BE2">
      <w:rPr>
        <w:noProof/>
      </w:rPr>
      <w:t>3</w:t>
    </w:r>
    <w:r>
      <w:fldChar w:fldCharType="end"/>
    </w:r>
    <w:r>
      <w:t xml:space="preserve"> of </w:t>
    </w:r>
    <w:r w:rsidR="007B6BE2">
      <w:fldChar w:fldCharType="begin"/>
    </w:r>
    <w:r w:rsidR="007B6BE2">
      <w:instrText xml:space="preserve"> NUMPAGES </w:instrText>
    </w:r>
    <w:r w:rsidR="007B6BE2">
      <w:fldChar w:fldCharType="separate"/>
    </w:r>
    <w:r w:rsidR="007B6BE2">
      <w:rPr>
        <w:noProof/>
      </w:rPr>
      <w:t>3</w:t>
    </w:r>
    <w:r w:rsidR="007B6B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F2EE" w14:textId="77777777" w:rsidR="00A51E5A" w:rsidRDefault="00A51E5A">
      <w:r>
        <w:separator/>
      </w:r>
    </w:p>
  </w:footnote>
  <w:footnote w:type="continuationSeparator" w:id="0">
    <w:p w14:paraId="3E481146" w14:textId="77777777" w:rsidR="00A51E5A" w:rsidRDefault="00A5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num>
  <w:num w:numId="4">
    <w:abstractNumId w:val="4"/>
  </w:num>
  <w:num w:numId="5">
    <w:abstractNumId w:val="15"/>
  </w:num>
  <w:num w:numId="6">
    <w:abstractNumId w:val="11"/>
  </w:num>
  <w:num w:numId="7">
    <w:abstractNumId w:val="12"/>
  </w:num>
  <w:num w:numId="8">
    <w:abstractNumId w:val="18"/>
  </w:num>
  <w:num w:numId="9">
    <w:abstractNumId w:val="14"/>
  </w:num>
  <w:num w:numId="10">
    <w:abstractNumId w:val="6"/>
  </w:num>
  <w:num w:numId="11">
    <w:abstractNumId w:val="17"/>
  </w:num>
  <w:num w:numId="12">
    <w:abstractNumId w:val="3"/>
  </w:num>
  <w:num w:numId="13">
    <w:abstractNumId w:val="10"/>
  </w:num>
  <w:num w:numId="14">
    <w:abstractNumId w:val="5"/>
  </w:num>
  <w:num w:numId="15">
    <w:abstractNumId w:val="2"/>
  </w:num>
  <w:num w:numId="16">
    <w:abstractNumId w:val="9"/>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65"/>
    <w:rsid w:val="00001478"/>
    <w:rsid w:val="0000557C"/>
    <w:rsid w:val="00006C02"/>
    <w:rsid w:val="00011260"/>
    <w:rsid w:val="000137A3"/>
    <w:rsid w:val="000167AC"/>
    <w:rsid w:val="00016AC8"/>
    <w:rsid w:val="00020D77"/>
    <w:rsid w:val="00020F42"/>
    <w:rsid w:val="00021190"/>
    <w:rsid w:val="000215A2"/>
    <w:rsid w:val="00021AF4"/>
    <w:rsid w:val="00023BBC"/>
    <w:rsid w:val="00023E9B"/>
    <w:rsid w:val="000248C0"/>
    <w:rsid w:val="00025020"/>
    <w:rsid w:val="00025358"/>
    <w:rsid w:val="00026215"/>
    <w:rsid w:val="00026B11"/>
    <w:rsid w:val="00026B9F"/>
    <w:rsid w:val="0002796C"/>
    <w:rsid w:val="00027CAE"/>
    <w:rsid w:val="00030488"/>
    <w:rsid w:val="00040907"/>
    <w:rsid w:val="00052D0F"/>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3F14"/>
    <w:rsid w:val="0010535A"/>
    <w:rsid w:val="001058D5"/>
    <w:rsid w:val="00107530"/>
    <w:rsid w:val="0011032B"/>
    <w:rsid w:val="00111168"/>
    <w:rsid w:val="00115FF9"/>
    <w:rsid w:val="001162E0"/>
    <w:rsid w:val="00122ED3"/>
    <w:rsid w:val="00123A88"/>
    <w:rsid w:val="001243DC"/>
    <w:rsid w:val="001271D1"/>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392D"/>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3F5E"/>
    <w:rsid w:val="001E6EDF"/>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013B"/>
    <w:rsid w:val="00261785"/>
    <w:rsid w:val="00262342"/>
    <w:rsid w:val="002645F7"/>
    <w:rsid w:val="00264760"/>
    <w:rsid w:val="00264EEA"/>
    <w:rsid w:val="00265EE1"/>
    <w:rsid w:val="00271686"/>
    <w:rsid w:val="00271CCD"/>
    <w:rsid w:val="00271E80"/>
    <w:rsid w:val="00274AD3"/>
    <w:rsid w:val="00274DCC"/>
    <w:rsid w:val="0027779D"/>
    <w:rsid w:val="002805AB"/>
    <w:rsid w:val="0028626A"/>
    <w:rsid w:val="0029017D"/>
    <w:rsid w:val="00293024"/>
    <w:rsid w:val="002945A2"/>
    <w:rsid w:val="002954D0"/>
    <w:rsid w:val="00296485"/>
    <w:rsid w:val="002979FD"/>
    <w:rsid w:val="002A1BC8"/>
    <w:rsid w:val="002B4001"/>
    <w:rsid w:val="002B6B78"/>
    <w:rsid w:val="002C0537"/>
    <w:rsid w:val="002C058F"/>
    <w:rsid w:val="002C0CC1"/>
    <w:rsid w:val="002C2391"/>
    <w:rsid w:val="002D2871"/>
    <w:rsid w:val="002D5F63"/>
    <w:rsid w:val="002D646A"/>
    <w:rsid w:val="002D68AD"/>
    <w:rsid w:val="002E1ED0"/>
    <w:rsid w:val="002F2F99"/>
    <w:rsid w:val="002F3981"/>
    <w:rsid w:val="002F7F1B"/>
    <w:rsid w:val="003052B0"/>
    <w:rsid w:val="00313C3D"/>
    <w:rsid w:val="0031615D"/>
    <w:rsid w:val="0031661D"/>
    <w:rsid w:val="00316777"/>
    <w:rsid w:val="0031683F"/>
    <w:rsid w:val="00320E6A"/>
    <w:rsid w:val="00322DF5"/>
    <w:rsid w:val="00326E48"/>
    <w:rsid w:val="003308D7"/>
    <w:rsid w:val="00330DE0"/>
    <w:rsid w:val="00332879"/>
    <w:rsid w:val="00332C68"/>
    <w:rsid w:val="00332EF7"/>
    <w:rsid w:val="00334850"/>
    <w:rsid w:val="0033568E"/>
    <w:rsid w:val="00337206"/>
    <w:rsid w:val="0034179D"/>
    <w:rsid w:val="00342614"/>
    <w:rsid w:val="003442BF"/>
    <w:rsid w:val="00344A66"/>
    <w:rsid w:val="003461E4"/>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9F5"/>
    <w:rsid w:val="003B1F9A"/>
    <w:rsid w:val="003B338C"/>
    <w:rsid w:val="003B371D"/>
    <w:rsid w:val="003B5B99"/>
    <w:rsid w:val="003B68B5"/>
    <w:rsid w:val="003C03A7"/>
    <w:rsid w:val="003C14FD"/>
    <w:rsid w:val="003C1E36"/>
    <w:rsid w:val="003C25CD"/>
    <w:rsid w:val="003D0691"/>
    <w:rsid w:val="003D700F"/>
    <w:rsid w:val="003E21DC"/>
    <w:rsid w:val="003E3E74"/>
    <w:rsid w:val="003E5B67"/>
    <w:rsid w:val="003F1DD2"/>
    <w:rsid w:val="003F46BB"/>
    <w:rsid w:val="003F7E21"/>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140"/>
    <w:rsid w:val="004502BC"/>
    <w:rsid w:val="00452ACF"/>
    <w:rsid w:val="004549A7"/>
    <w:rsid w:val="00454BF6"/>
    <w:rsid w:val="0046047C"/>
    <w:rsid w:val="00462950"/>
    <w:rsid w:val="00463864"/>
    <w:rsid w:val="00466EC8"/>
    <w:rsid w:val="00471059"/>
    <w:rsid w:val="00473845"/>
    <w:rsid w:val="004758EC"/>
    <w:rsid w:val="004823E3"/>
    <w:rsid w:val="004855D9"/>
    <w:rsid w:val="00485FF4"/>
    <w:rsid w:val="00486468"/>
    <w:rsid w:val="00494F7E"/>
    <w:rsid w:val="00496B20"/>
    <w:rsid w:val="0049791B"/>
    <w:rsid w:val="004A1E88"/>
    <w:rsid w:val="004A4412"/>
    <w:rsid w:val="004A46DD"/>
    <w:rsid w:val="004A4B7B"/>
    <w:rsid w:val="004A4DD0"/>
    <w:rsid w:val="004A647F"/>
    <w:rsid w:val="004A6CDB"/>
    <w:rsid w:val="004B1C58"/>
    <w:rsid w:val="004B3FC1"/>
    <w:rsid w:val="004B4CEF"/>
    <w:rsid w:val="004B53CB"/>
    <w:rsid w:val="004B5D8D"/>
    <w:rsid w:val="004B5DD5"/>
    <w:rsid w:val="004C0491"/>
    <w:rsid w:val="004C69CF"/>
    <w:rsid w:val="004C7323"/>
    <w:rsid w:val="004D3008"/>
    <w:rsid w:val="004D5B92"/>
    <w:rsid w:val="004D5F94"/>
    <w:rsid w:val="004E148C"/>
    <w:rsid w:val="004E2BB2"/>
    <w:rsid w:val="004E7DF7"/>
    <w:rsid w:val="004E7E74"/>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43A6E"/>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1457"/>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3A41"/>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63311"/>
    <w:rsid w:val="00675316"/>
    <w:rsid w:val="00677321"/>
    <w:rsid w:val="00681908"/>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6691"/>
    <w:rsid w:val="006C7DA9"/>
    <w:rsid w:val="006D001C"/>
    <w:rsid w:val="006D193A"/>
    <w:rsid w:val="006D22CF"/>
    <w:rsid w:val="006D4CD8"/>
    <w:rsid w:val="006D4FE2"/>
    <w:rsid w:val="006D726B"/>
    <w:rsid w:val="006E0884"/>
    <w:rsid w:val="006E14FC"/>
    <w:rsid w:val="006E58E1"/>
    <w:rsid w:val="006E6B1E"/>
    <w:rsid w:val="006F1C36"/>
    <w:rsid w:val="006F22EA"/>
    <w:rsid w:val="006F26CB"/>
    <w:rsid w:val="006F38FF"/>
    <w:rsid w:val="00700172"/>
    <w:rsid w:val="00703C99"/>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2CB"/>
    <w:rsid w:val="00775BE8"/>
    <w:rsid w:val="00783584"/>
    <w:rsid w:val="00783F26"/>
    <w:rsid w:val="007844DB"/>
    <w:rsid w:val="00787FE7"/>
    <w:rsid w:val="0079170C"/>
    <w:rsid w:val="00793533"/>
    <w:rsid w:val="00794277"/>
    <w:rsid w:val="007971DA"/>
    <w:rsid w:val="00797A72"/>
    <w:rsid w:val="007A0F03"/>
    <w:rsid w:val="007A42C7"/>
    <w:rsid w:val="007A4F9C"/>
    <w:rsid w:val="007A545C"/>
    <w:rsid w:val="007A6055"/>
    <w:rsid w:val="007A7E6C"/>
    <w:rsid w:val="007B361B"/>
    <w:rsid w:val="007B6BE2"/>
    <w:rsid w:val="007B7872"/>
    <w:rsid w:val="007C1DE3"/>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C0D"/>
    <w:rsid w:val="007F0FD0"/>
    <w:rsid w:val="007F28F2"/>
    <w:rsid w:val="007F383D"/>
    <w:rsid w:val="007F5E9C"/>
    <w:rsid w:val="007F6760"/>
    <w:rsid w:val="008008CA"/>
    <w:rsid w:val="00802C66"/>
    <w:rsid w:val="00803AD6"/>
    <w:rsid w:val="00803CBD"/>
    <w:rsid w:val="00806AC1"/>
    <w:rsid w:val="00807685"/>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C3723"/>
    <w:rsid w:val="008D080A"/>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1EB8"/>
    <w:rsid w:val="0091411B"/>
    <w:rsid w:val="009165CF"/>
    <w:rsid w:val="00917C86"/>
    <w:rsid w:val="00920163"/>
    <w:rsid w:val="00923BC7"/>
    <w:rsid w:val="00924004"/>
    <w:rsid w:val="00925DF3"/>
    <w:rsid w:val="00931751"/>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1E5A"/>
    <w:rsid w:val="00A5228A"/>
    <w:rsid w:val="00A53DE0"/>
    <w:rsid w:val="00A5491D"/>
    <w:rsid w:val="00A54A73"/>
    <w:rsid w:val="00A55B6A"/>
    <w:rsid w:val="00A616B6"/>
    <w:rsid w:val="00A639C4"/>
    <w:rsid w:val="00A65487"/>
    <w:rsid w:val="00A65A67"/>
    <w:rsid w:val="00A65DAB"/>
    <w:rsid w:val="00A669C8"/>
    <w:rsid w:val="00A73065"/>
    <w:rsid w:val="00A7312F"/>
    <w:rsid w:val="00A767DE"/>
    <w:rsid w:val="00A81A87"/>
    <w:rsid w:val="00A827E2"/>
    <w:rsid w:val="00A84F57"/>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6543"/>
    <w:rsid w:val="00B4088D"/>
    <w:rsid w:val="00B41335"/>
    <w:rsid w:val="00B44C05"/>
    <w:rsid w:val="00B45675"/>
    <w:rsid w:val="00B513FE"/>
    <w:rsid w:val="00B566C7"/>
    <w:rsid w:val="00B5699C"/>
    <w:rsid w:val="00B578D5"/>
    <w:rsid w:val="00B60F7F"/>
    <w:rsid w:val="00B611BB"/>
    <w:rsid w:val="00B6162F"/>
    <w:rsid w:val="00B61A0A"/>
    <w:rsid w:val="00B65909"/>
    <w:rsid w:val="00B70F57"/>
    <w:rsid w:val="00B70FCF"/>
    <w:rsid w:val="00B723F3"/>
    <w:rsid w:val="00B73B3F"/>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3358"/>
    <w:rsid w:val="00BB34E4"/>
    <w:rsid w:val="00BC231F"/>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EEB"/>
    <w:rsid w:val="00CB0750"/>
    <w:rsid w:val="00CB7176"/>
    <w:rsid w:val="00CB7336"/>
    <w:rsid w:val="00CB7406"/>
    <w:rsid w:val="00CB76AC"/>
    <w:rsid w:val="00CC04DD"/>
    <w:rsid w:val="00CC6197"/>
    <w:rsid w:val="00CD1236"/>
    <w:rsid w:val="00CD24F6"/>
    <w:rsid w:val="00CD59A3"/>
    <w:rsid w:val="00CD636B"/>
    <w:rsid w:val="00CD6F22"/>
    <w:rsid w:val="00CE1E1E"/>
    <w:rsid w:val="00CE2F49"/>
    <w:rsid w:val="00CE5400"/>
    <w:rsid w:val="00CE67D0"/>
    <w:rsid w:val="00CE6844"/>
    <w:rsid w:val="00CF20F0"/>
    <w:rsid w:val="00CF3DC0"/>
    <w:rsid w:val="00D010B9"/>
    <w:rsid w:val="00D02E93"/>
    <w:rsid w:val="00D04759"/>
    <w:rsid w:val="00D0681E"/>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0E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10FB"/>
    <w:rsid w:val="00D74779"/>
    <w:rsid w:val="00D7680C"/>
    <w:rsid w:val="00D827BC"/>
    <w:rsid w:val="00D86FE4"/>
    <w:rsid w:val="00D87DF8"/>
    <w:rsid w:val="00D90CDD"/>
    <w:rsid w:val="00D90EAD"/>
    <w:rsid w:val="00D917F4"/>
    <w:rsid w:val="00D91CE2"/>
    <w:rsid w:val="00D9666A"/>
    <w:rsid w:val="00DA1E3C"/>
    <w:rsid w:val="00DA272C"/>
    <w:rsid w:val="00DA3170"/>
    <w:rsid w:val="00DA5215"/>
    <w:rsid w:val="00DA73E0"/>
    <w:rsid w:val="00DA7A26"/>
    <w:rsid w:val="00DB0F6D"/>
    <w:rsid w:val="00DB30E6"/>
    <w:rsid w:val="00DC4F0B"/>
    <w:rsid w:val="00DC5C86"/>
    <w:rsid w:val="00DC69C6"/>
    <w:rsid w:val="00DD1FF6"/>
    <w:rsid w:val="00DD3DEF"/>
    <w:rsid w:val="00DD7D10"/>
    <w:rsid w:val="00DE0271"/>
    <w:rsid w:val="00DE1047"/>
    <w:rsid w:val="00DE144E"/>
    <w:rsid w:val="00DE2B75"/>
    <w:rsid w:val="00DE5256"/>
    <w:rsid w:val="00DE6B73"/>
    <w:rsid w:val="00DF1578"/>
    <w:rsid w:val="00DF2D8D"/>
    <w:rsid w:val="00DF5B82"/>
    <w:rsid w:val="00E01E74"/>
    <w:rsid w:val="00E0418C"/>
    <w:rsid w:val="00E062EE"/>
    <w:rsid w:val="00E06F0D"/>
    <w:rsid w:val="00E103B4"/>
    <w:rsid w:val="00E12561"/>
    <w:rsid w:val="00E14AE6"/>
    <w:rsid w:val="00E15C35"/>
    <w:rsid w:val="00E175AF"/>
    <w:rsid w:val="00E205CD"/>
    <w:rsid w:val="00E21F60"/>
    <w:rsid w:val="00E220DF"/>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3EC"/>
    <w:rsid w:val="00E74D09"/>
    <w:rsid w:val="00E75880"/>
    <w:rsid w:val="00E818DC"/>
    <w:rsid w:val="00E82E08"/>
    <w:rsid w:val="00E85C0D"/>
    <w:rsid w:val="00E861AC"/>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2729"/>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58c3f41e43d37118ce9ebc241703d163">
  <xsd:schema xmlns:xsd="http://www.w3.org/2001/XMLSchema" xmlns:xs="http://www.w3.org/2001/XMLSchema" xmlns:p="http://schemas.microsoft.com/office/2006/metadata/properties" xmlns:ns3="0d47a867-ae85-4f49-9693-a9c2c55e8dca" targetNamespace="http://schemas.microsoft.com/office/2006/metadata/properties" ma:root="true" ma:fieldsID="1c134e4953d809a83d6315d57e0d46d9"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2C8E-F1E2-452E-994C-863F150D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3.xml><?xml version="1.0" encoding="utf-8"?>
<ds:datastoreItem xmlns:ds="http://schemas.openxmlformats.org/officeDocument/2006/customXml" ds:itemID="{1DBDF359-3548-4D25-A8EE-A32589875C6D}">
  <ds:schemaRefs>
    <ds:schemaRef ds:uri="http://purl.org/dc/elements/1.1/"/>
    <ds:schemaRef ds:uri="http://schemas.microsoft.com/office/2006/metadata/properties"/>
    <ds:schemaRef ds:uri="0d47a867-ae85-4f49-9693-a9c2c55e8dc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C8F0AB5-6EC0-439E-85D8-B3384B8E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3398</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Cortes, John@DIR</cp:lastModifiedBy>
  <cp:revision>18</cp:revision>
  <cp:lastPrinted>2017-10-10T19:02:00Z</cp:lastPrinted>
  <dcterms:created xsi:type="dcterms:W3CDTF">2021-09-21T17:07:00Z</dcterms:created>
  <dcterms:modified xsi:type="dcterms:W3CDTF">2021-10-05T16:53:00Z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