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38" w:rsidRPr="002D3D97" w:rsidRDefault="00F55838">
      <w:pPr>
        <w:widowControl/>
        <w:rPr>
          <w:rFonts w:ascii="Arial" w:hAnsi="Arial" w:cs="Arial"/>
          <w:b/>
          <w:color w:val="000000"/>
          <w:sz w:val="24"/>
          <w:szCs w:val="24"/>
        </w:rPr>
      </w:pPr>
    </w:p>
    <w:p w:rsidR="00BC1910" w:rsidRPr="002D3D97" w:rsidRDefault="00BC1910" w:rsidP="00BC1910">
      <w:pPr>
        <w:pStyle w:val="Default"/>
        <w:jc w:val="center"/>
        <w:rPr>
          <w:rFonts w:ascii="Arial" w:hAnsi="Arial" w:cs="Arial"/>
          <w:sz w:val="32"/>
          <w:szCs w:val="32"/>
        </w:rPr>
      </w:pPr>
      <w:r w:rsidRPr="002D3D97">
        <w:rPr>
          <w:rFonts w:ascii="Arial" w:hAnsi="Arial" w:cs="Arial"/>
          <w:b/>
          <w:bCs/>
          <w:sz w:val="32"/>
          <w:szCs w:val="32"/>
        </w:rPr>
        <w:t xml:space="preserve">STATE OF CALIFORNIA </w:t>
      </w:r>
    </w:p>
    <w:p w:rsidR="00BC1910" w:rsidRPr="002D3D97" w:rsidRDefault="00BC1910" w:rsidP="00BC1910">
      <w:pPr>
        <w:pStyle w:val="Default"/>
        <w:jc w:val="center"/>
        <w:rPr>
          <w:rFonts w:ascii="Arial" w:hAnsi="Arial" w:cs="Arial"/>
          <w:sz w:val="32"/>
          <w:szCs w:val="32"/>
        </w:rPr>
      </w:pPr>
      <w:r w:rsidRPr="002D3D97">
        <w:rPr>
          <w:rFonts w:ascii="Arial" w:hAnsi="Arial" w:cs="Arial"/>
          <w:b/>
          <w:bCs/>
          <w:sz w:val="32"/>
          <w:szCs w:val="32"/>
        </w:rPr>
        <w:t xml:space="preserve">DEPARTMENT OF INDUSTRIAL RELATIONS </w:t>
      </w:r>
    </w:p>
    <w:p w:rsidR="00BC1910" w:rsidRDefault="00BC1910" w:rsidP="00BC1910">
      <w:pPr>
        <w:pStyle w:val="Default"/>
        <w:jc w:val="center"/>
        <w:rPr>
          <w:rFonts w:ascii="Arial" w:hAnsi="Arial" w:cs="Arial"/>
          <w:b/>
          <w:bCs/>
          <w:sz w:val="32"/>
          <w:szCs w:val="32"/>
        </w:rPr>
      </w:pPr>
      <w:r w:rsidRPr="002D3D97">
        <w:rPr>
          <w:rFonts w:ascii="Arial" w:hAnsi="Arial" w:cs="Arial"/>
          <w:b/>
          <w:bCs/>
          <w:sz w:val="32"/>
          <w:szCs w:val="32"/>
        </w:rPr>
        <w:t xml:space="preserve">DIVISION OF WORKERS’ COMPENSATION </w:t>
      </w:r>
    </w:p>
    <w:p w:rsidR="005F5048" w:rsidRDefault="005F5048" w:rsidP="00BC1910">
      <w:pPr>
        <w:pStyle w:val="Default"/>
        <w:jc w:val="center"/>
        <w:rPr>
          <w:rFonts w:ascii="Arial" w:hAnsi="Arial" w:cs="Arial"/>
          <w:b/>
          <w:bCs/>
          <w:sz w:val="32"/>
          <w:szCs w:val="32"/>
        </w:rPr>
      </w:pPr>
    </w:p>
    <w:p w:rsidR="005F5048" w:rsidRDefault="005F5048">
      <w:pPr>
        <w:widowControl/>
        <w:jc w:val="center"/>
        <w:rPr>
          <w:rFonts w:ascii="Arial" w:hAnsi="Arial" w:cs="Arial"/>
          <w:b/>
          <w:color w:val="000000"/>
          <w:sz w:val="32"/>
          <w:szCs w:val="32"/>
        </w:rPr>
      </w:pPr>
      <w:r>
        <w:rPr>
          <w:rFonts w:ascii="Arial" w:hAnsi="Arial" w:cs="Arial"/>
          <w:b/>
          <w:color w:val="000000"/>
          <w:sz w:val="32"/>
          <w:szCs w:val="32"/>
        </w:rPr>
        <w:t xml:space="preserve">ADDENDUM TO </w:t>
      </w:r>
    </w:p>
    <w:p w:rsidR="00F55838" w:rsidRPr="002D3D97" w:rsidRDefault="00F55838">
      <w:pPr>
        <w:widowControl/>
        <w:jc w:val="center"/>
        <w:rPr>
          <w:rFonts w:ascii="Arial" w:hAnsi="Arial" w:cs="Arial"/>
          <w:b/>
          <w:color w:val="000000"/>
          <w:sz w:val="32"/>
          <w:szCs w:val="32"/>
        </w:rPr>
      </w:pPr>
      <w:r w:rsidRPr="002D3D97">
        <w:rPr>
          <w:rFonts w:ascii="Arial" w:hAnsi="Arial" w:cs="Arial"/>
          <w:b/>
          <w:color w:val="000000"/>
          <w:sz w:val="32"/>
          <w:szCs w:val="32"/>
        </w:rPr>
        <w:t>INITIAL STATEMENT OF REASONS</w:t>
      </w:r>
    </w:p>
    <w:p w:rsidR="00F55838" w:rsidRPr="002D3D97" w:rsidRDefault="00F55838">
      <w:pPr>
        <w:widowControl/>
        <w:jc w:val="center"/>
        <w:rPr>
          <w:rFonts w:ascii="Arial" w:hAnsi="Arial" w:cs="Arial"/>
          <w:b/>
          <w:color w:val="000000"/>
          <w:sz w:val="28"/>
          <w:szCs w:val="28"/>
          <w:u w:val="single"/>
        </w:rPr>
      </w:pPr>
    </w:p>
    <w:p w:rsidR="00F55838" w:rsidRPr="002D3D97" w:rsidRDefault="00F55838">
      <w:pPr>
        <w:widowControl/>
        <w:jc w:val="center"/>
        <w:rPr>
          <w:rFonts w:ascii="Arial" w:hAnsi="Arial" w:cs="Arial"/>
          <w:b/>
          <w:color w:val="000000"/>
          <w:sz w:val="28"/>
          <w:szCs w:val="28"/>
        </w:rPr>
      </w:pPr>
      <w:r w:rsidRPr="002D3D97">
        <w:rPr>
          <w:rFonts w:ascii="Arial" w:hAnsi="Arial" w:cs="Arial"/>
          <w:b/>
          <w:color w:val="000000"/>
          <w:sz w:val="28"/>
          <w:szCs w:val="28"/>
        </w:rPr>
        <w:t>Subject Matter of Regulations:  Workers’ Compensation</w:t>
      </w:r>
    </w:p>
    <w:p w:rsidR="00F55838" w:rsidRPr="002D3D97" w:rsidRDefault="00F55838">
      <w:pPr>
        <w:widowControl/>
        <w:jc w:val="center"/>
        <w:rPr>
          <w:rFonts w:ascii="Arial" w:hAnsi="Arial" w:cs="Arial"/>
          <w:b/>
          <w:color w:val="000000"/>
          <w:sz w:val="28"/>
          <w:szCs w:val="28"/>
        </w:rPr>
      </w:pPr>
      <w:r w:rsidRPr="002D3D97">
        <w:rPr>
          <w:rFonts w:ascii="Arial" w:hAnsi="Arial" w:cs="Arial"/>
          <w:b/>
          <w:color w:val="000000"/>
          <w:sz w:val="28"/>
          <w:szCs w:val="28"/>
        </w:rPr>
        <w:t>Qualified Medical Evaluator Regulations</w:t>
      </w:r>
    </w:p>
    <w:p w:rsidR="00F55838" w:rsidRPr="002D3D97" w:rsidRDefault="00F55838">
      <w:pPr>
        <w:widowControl/>
        <w:jc w:val="center"/>
        <w:rPr>
          <w:rFonts w:ascii="Arial" w:hAnsi="Arial" w:cs="Arial"/>
          <w:b/>
          <w:color w:val="000000"/>
          <w:sz w:val="28"/>
          <w:szCs w:val="28"/>
        </w:rPr>
      </w:pPr>
    </w:p>
    <w:p w:rsidR="00F55838" w:rsidRPr="002D3D97" w:rsidRDefault="00F55838">
      <w:pPr>
        <w:widowControl/>
        <w:jc w:val="center"/>
        <w:rPr>
          <w:rFonts w:ascii="Arial" w:hAnsi="Arial" w:cs="Arial"/>
          <w:b/>
          <w:color w:val="000000"/>
          <w:sz w:val="28"/>
          <w:szCs w:val="28"/>
          <w:u w:val="single"/>
        </w:rPr>
      </w:pPr>
      <w:r w:rsidRPr="002D3D97">
        <w:rPr>
          <w:rFonts w:ascii="Arial" w:hAnsi="Arial" w:cs="Arial"/>
          <w:b/>
          <w:color w:val="000000"/>
          <w:sz w:val="28"/>
          <w:szCs w:val="28"/>
          <w:u w:val="single"/>
        </w:rPr>
        <w:t xml:space="preserve">TITLE 8.  </w:t>
      </w:r>
      <w:smartTag w:uri="urn:schemas-microsoft-com:office:smarttags" w:element="State">
        <w:smartTag w:uri="urn:schemas-microsoft-com:office:smarttags" w:element="place">
          <w:r w:rsidRPr="002D3D97">
            <w:rPr>
              <w:rFonts w:ascii="Arial" w:hAnsi="Arial" w:cs="Arial"/>
              <w:b/>
              <w:color w:val="000000"/>
              <w:sz w:val="28"/>
              <w:szCs w:val="28"/>
              <w:u w:val="single"/>
            </w:rPr>
            <w:t>CALIFORNIA</w:t>
          </w:r>
        </w:smartTag>
      </w:smartTag>
      <w:r w:rsidRPr="002D3D97">
        <w:rPr>
          <w:rFonts w:ascii="Arial" w:hAnsi="Arial" w:cs="Arial"/>
          <w:b/>
          <w:color w:val="000000"/>
          <w:sz w:val="28"/>
          <w:szCs w:val="28"/>
          <w:u w:val="single"/>
        </w:rPr>
        <w:t xml:space="preserve"> CODE OF REGULATIONS</w:t>
      </w:r>
    </w:p>
    <w:p w:rsidR="00F55838" w:rsidRPr="002D3D97" w:rsidRDefault="001A49A2">
      <w:pPr>
        <w:widowControl/>
        <w:jc w:val="center"/>
        <w:rPr>
          <w:rFonts w:ascii="Arial" w:hAnsi="Arial" w:cs="Arial"/>
          <w:b/>
          <w:color w:val="000000"/>
          <w:sz w:val="28"/>
          <w:szCs w:val="28"/>
          <w:u w:val="single"/>
        </w:rPr>
      </w:pPr>
      <w:r w:rsidRPr="002D3D97">
        <w:rPr>
          <w:rFonts w:ascii="Arial" w:hAnsi="Arial" w:cs="Arial"/>
          <w:b/>
          <w:color w:val="000000"/>
          <w:sz w:val="28"/>
          <w:szCs w:val="28"/>
          <w:u w:val="single"/>
        </w:rPr>
        <w:t>SECTION 36.7</w:t>
      </w:r>
    </w:p>
    <w:p w:rsidR="00BC1910" w:rsidRPr="002D3D97" w:rsidRDefault="00BC1910">
      <w:pPr>
        <w:widowControl/>
        <w:rPr>
          <w:rFonts w:ascii="Arial" w:hAnsi="Arial" w:cs="Arial"/>
          <w:b/>
          <w:color w:val="000000"/>
          <w:sz w:val="32"/>
          <w:szCs w:val="32"/>
        </w:rPr>
      </w:pPr>
    </w:p>
    <w:p w:rsidR="00370A47" w:rsidRPr="002D3D97" w:rsidRDefault="00F4694E" w:rsidP="001B49DC">
      <w:pPr>
        <w:widowControl/>
        <w:spacing w:before="120" w:after="120"/>
        <w:rPr>
          <w:rFonts w:ascii="Arial" w:hAnsi="Arial" w:cs="Arial"/>
          <w:sz w:val="24"/>
          <w:szCs w:val="24"/>
        </w:rPr>
      </w:pPr>
      <w:r>
        <w:rPr>
          <w:rFonts w:ascii="Arial" w:hAnsi="Arial" w:cs="Arial"/>
          <w:sz w:val="24"/>
          <w:szCs w:val="24"/>
        </w:rPr>
        <w:t xml:space="preserve">Enact section 36.7 </w:t>
      </w:r>
      <w:r w:rsidR="00E42A09" w:rsidRPr="002D3D97">
        <w:rPr>
          <w:rFonts w:ascii="Arial" w:hAnsi="Arial" w:cs="Arial"/>
          <w:sz w:val="24"/>
          <w:szCs w:val="24"/>
        </w:rPr>
        <w:t>Electronic Service</w:t>
      </w:r>
      <w:r w:rsidR="00606FAC" w:rsidRPr="002D3D97">
        <w:rPr>
          <w:rFonts w:ascii="Arial" w:hAnsi="Arial" w:cs="Arial"/>
          <w:sz w:val="24"/>
          <w:szCs w:val="24"/>
        </w:rPr>
        <w:t xml:space="preserve"> of Medical-Legal Reports by Medical Evaluators </w:t>
      </w:r>
    </w:p>
    <w:p w:rsidR="001A49A2" w:rsidRPr="002D3D97" w:rsidRDefault="001A49A2" w:rsidP="00986E23">
      <w:pPr>
        <w:widowControl/>
        <w:rPr>
          <w:rFonts w:ascii="Arial" w:hAnsi="Arial" w:cs="Arial"/>
          <w:sz w:val="24"/>
          <w:szCs w:val="24"/>
        </w:rPr>
      </w:pPr>
    </w:p>
    <w:p w:rsidR="00F55838" w:rsidRPr="002D3D97" w:rsidRDefault="00F55838">
      <w:pPr>
        <w:widowControl/>
        <w:rPr>
          <w:rFonts w:ascii="Arial" w:hAnsi="Arial" w:cs="Arial"/>
          <w:b/>
          <w:color w:val="000000"/>
          <w:sz w:val="24"/>
          <w:szCs w:val="24"/>
        </w:rPr>
      </w:pPr>
      <w:r w:rsidRPr="002D3D97">
        <w:rPr>
          <w:rFonts w:ascii="Arial" w:hAnsi="Arial" w:cs="Arial"/>
          <w:b/>
          <w:color w:val="000000"/>
          <w:sz w:val="24"/>
          <w:szCs w:val="24"/>
        </w:rPr>
        <w:t>TECHNICAL, THEORETICAL, OR EMPIRICAL STUDIES, REPORTS OR DOCUMENTS</w:t>
      </w:r>
    </w:p>
    <w:p w:rsidR="002D3D97" w:rsidRPr="002D3D97" w:rsidRDefault="002D3D97">
      <w:pPr>
        <w:widowControl/>
        <w:rPr>
          <w:rFonts w:ascii="Arial" w:hAnsi="Arial" w:cs="Arial"/>
          <w:b/>
          <w:color w:val="000000"/>
          <w:sz w:val="24"/>
          <w:szCs w:val="24"/>
        </w:rPr>
      </w:pPr>
    </w:p>
    <w:p w:rsidR="002D3D97" w:rsidRPr="002D3D97" w:rsidRDefault="002D3D97" w:rsidP="002D3D97">
      <w:pPr>
        <w:widowControl/>
        <w:spacing w:after="360"/>
        <w:rPr>
          <w:rFonts w:ascii="Arial" w:hAnsi="Arial" w:cs="Arial"/>
          <w:color w:val="000000"/>
          <w:sz w:val="24"/>
          <w:szCs w:val="24"/>
        </w:rPr>
      </w:pPr>
      <w:r w:rsidRPr="002D3D97">
        <w:rPr>
          <w:rFonts w:ascii="Arial" w:hAnsi="Arial" w:cs="Arial"/>
          <w:color w:val="000000"/>
          <w:sz w:val="24"/>
          <w:szCs w:val="24"/>
        </w:rPr>
        <w:t>California Code of Civil Procedure Section 1010.6</w:t>
      </w:r>
    </w:p>
    <w:p w:rsidR="00E67FA9" w:rsidRPr="002D3D97" w:rsidRDefault="00E67FA9" w:rsidP="00E67FA9">
      <w:pPr>
        <w:pStyle w:val="ListParagraph"/>
        <w:tabs>
          <w:tab w:val="left" w:pos="360"/>
        </w:tabs>
        <w:spacing w:after="120"/>
        <w:ind w:left="0"/>
        <w:rPr>
          <w:rFonts w:ascii="Arial" w:hAnsi="Arial" w:cs="Arial"/>
          <w:b/>
        </w:rPr>
      </w:pPr>
      <w:r w:rsidRPr="002D3D97">
        <w:rPr>
          <w:rFonts w:ascii="Arial" w:hAnsi="Arial" w:cs="Arial"/>
          <w:b/>
          <w:caps/>
        </w:rPr>
        <w:t>Specific technology or equipment required (</w:t>
      </w:r>
      <w:r w:rsidRPr="002D3D97">
        <w:rPr>
          <w:rFonts w:ascii="Arial" w:hAnsi="Arial" w:cs="Arial"/>
          <w:b/>
        </w:rPr>
        <w:t>if applicable</w:t>
      </w:r>
      <w:r w:rsidRPr="002D3D97">
        <w:rPr>
          <w:rFonts w:ascii="Arial" w:hAnsi="Arial" w:cs="Arial"/>
          <w:b/>
          <w:caps/>
        </w:rPr>
        <w:t>)</w:t>
      </w:r>
    </w:p>
    <w:p w:rsidR="00E67FA9" w:rsidRPr="002D3D97" w:rsidRDefault="00E67FA9" w:rsidP="00E67FA9">
      <w:pPr>
        <w:pStyle w:val="ListParagraph"/>
        <w:tabs>
          <w:tab w:val="left" w:pos="360"/>
        </w:tabs>
        <w:spacing w:after="120"/>
        <w:ind w:left="0"/>
        <w:rPr>
          <w:rFonts w:ascii="Arial" w:hAnsi="Arial" w:cs="Arial"/>
        </w:rPr>
      </w:pPr>
    </w:p>
    <w:p w:rsidR="00E67FA9" w:rsidRPr="002D3D97" w:rsidRDefault="002D3D97" w:rsidP="00E67FA9">
      <w:pPr>
        <w:pStyle w:val="ListParagraph"/>
        <w:tabs>
          <w:tab w:val="left" w:pos="360"/>
        </w:tabs>
        <w:spacing w:after="120"/>
        <w:ind w:left="0"/>
        <w:rPr>
          <w:rFonts w:ascii="Arial" w:hAnsi="Arial" w:cs="Arial"/>
        </w:rPr>
      </w:pPr>
      <w:r w:rsidRPr="002D3D97">
        <w:rPr>
          <w:rFonts w:ascii="Arial" w:hAnsi="Arial" w:cs="Arial"/>
        </w:rPr>
        <w:t>Consistent with California Code of Civil Procedure section 1010.6 n</w:t>
      </w:r>
      <w:r w:rsidR="00E67FA9" w:rsidRPr="002D3D97">
        <w:rPr>
          <w:rFonts w:ascii="Arial" w:hAnsi="Arial" w:cs="Arial"/>
        </w:rPr>
        <w:t>o specific technologies or equipment are required by these proposed regulations.</w:t>
      </w:r>
    </w:p>
    <w:p w:rsidR="00E67FA9" w:rsidRPr="002D3D97" w:rsidRDefault="00E67FA9" w:rsidP="00E67FA9">
      <w:pPr>
        <w:pStyle w:val="ListParagraph"/>
        <w:tabs>
          <w:tab w:val="left" w:pos="360"/>
        </w:tabs>
        <w:spacing w:after="120"/>
        <w:ind w:left="0"/>
        <w:rPr>
          <w:rFonts w:ascii="Arial" w:hAnsi="Arial" w:cs="Arial"/>
        </w:rPr>
      </w:pPr>
    </w:p>
    <w:p w:rsidR="00E67FA9" w:rsidRPr="00126426" w:rsidRDefault="00E67FA9" w:rsidP="00126426">
      <w:pPr>
        <w:pStyle w:val="ListParagraph"/>
        <w:tabs>
          <w:tab w:val="left" w:pos="360"/>
        </w:tabs>
        <w:spacing w:after="360"/>
        <w:ind w:left="0"/>
        <w:contextualSpacing w:val="0"/>
        <w:rPr>
          <w:rFonts w:ascii="Arial" w:hAnsi="Arial" w:cs="Arial"/>
          <w:b/>
          <w:caps/>
        </w:rPr>
      </w:pPr>
      <w:r w:rsidRPr="002D3D97">
        <w:rPr>
          <w:rFonts w:ascii="Arial" w:hAnsi="Arial" w:cs="Arial"/>
          <w:b/>
          <w:caps/>
        </w:rPr>
        <w:t>Facts on which the agency relies in support of its initial determination that the regulations will not have a significant adverse impact on business.</w:t>
      </w:r>
    </w:p>
    <w:p w:rsidR="002D3D97" w:rsidRDefault="00E67FA9" w:rsidP="002D3D97">
      <w:pPr>
        <w:pStyle w:val="ListParagraph"/>
        <w:tabs>
          <w:tab w:val="left" w:pos="360"/>
        </w:tabs>
        <w:spacing w:after="360"/>
        <w:ind w:left="0"/>
        <w:contextualSpacing w:val="0"/>
        <w:rPr>
          <w:rFonts w:ascii="Arial" w:hAnsi="Arial" w:cs="Arial"/>
        </w:rPr>
      </w:pPr>
      <w:r w:rsidRPr="002D3D97">
        <w:rPr>
          <w:rFonts w:ascii="Arial" w:hAnsi="Arial" w:cs="Arial"/>
        </w:rPr>
        <w:t xml:space="preserve">The Administrative Director </w:t>
      </w:r>
      <w:r w:rsidR="001A49A2" w:rsidRPr="002D3D97">
        <w:rPr>
          <w:rFonts w:ascii="Arial" w:hAnsi="Arial" w:cs="Arial"/>
        </w:rPr>
        <w:t xml:space="preserve">has determined that the proposed </w:t>
      </w:r>
      <w:r w:rsidR="002A205F" w:rsidRPr="002D3D97">
        <w:rPr>
          <w:rFonts w:ascii="Arial" w:hAnsi="Arial" w:cs="Arial"/>
        </w:rPr>
        <w:t>regulations</w:t>
      </w:r>
      <w:r w:rsidRPr="002D3D97">
        <w:rPr>
          <w:rFonts w:ascii="Arial" w:hAnsi="Arial" w:cs="Arial"/>
        </w:rPr>
        <w:t xml:space="preserve"> will not have a significant adverse impact on business. </w:t>
      </w:r>
      <w:r w:rsidR="002D3D97" w:rsidRPr="002D3D97">
        <w:rPr>
          <w:rFonts w:ascii="Arial" w:hAnsi="Arial" w:cs="Arial"/>
        </w:rPr>
        <w:t xml:space="preserve">This regulation is being adopted consistent with California Code of Civil Procedure section 1010.6 and it does not require any specialized, cumbersome or expensive equipment or software to utilize electronic service. </w:t>
      </w:r>
    </w:p>
    <w:p w:rsidR="00E86C86" w:rsidRDefault="00E86C86" w:rsidP="00E86C86">
      <w:pPr>
        <w:widowControl/>
        <w:rPr>
          <w:rFonts w:ascii="Arial" w:hAnsi="Arial" w:cs="Arial"/>
          <w:sz w:val="24"/>
          <w:szCs w:val="24"/>
        </w:rPr>
      </w:pPr>
      <w:r>
        <w:rPr>
          <w:rFonts w:ascii="Arial" w:hAnsi="Arial" w:cs="Arial"/>
          <w:sz w:val="24"/>
          <w:szCs w:val="24"/>
        </w:rPr>
        <w:t>There are no increased costs to businesses anticipated as a result of this regulation.</w:t>
      </w:r>
    </w:p>
    <w:p w:rsidR="00E86C86" w:rsidRPr="00126426" w:rsidRDefault="00E86C86" w:rsidP="00126426">
      <w:pPr>
        <w:widowControl/>
        <w:spacing w:after="240"/>
        <w:rPr>
          <w:rFonts w:ascii="Arial" w:hAnsi="Arial" w:cs="Arial"/>
          <w:sz w:val="24"/>
          <w:szCs w:val="24"/>
        </w:rPr>
      </w:pPr>
      <w:r>
        <w:rPr>
          <w:rFonts w:ascii="Arial" w:hAnsi="Arial" w:cs="Arial"/>
          <w:sz w:val="24"/>
          <w:szCs w:val="24"/>
        </w:rPr>
        <w:t>The businesses subject to this regulation have the resources necessary to transfer</w:t>
      </w:r>
      <w:r w:rsidR="00126426">
        <w:rPr>
          <w:rFonts w:ascii="Arial" w:hAnsi="Arial" w:cs="Arial"/>
          <w:sz w:val="24"/>
          <w:szCs w:val="24"/>
        </w:rPr>
        <w:t xml:space="preserve"> </w:t>
      </w:r>
      <w:r>
        <w:rPr>
          <w:rFonts w:ascii="Arial" w:hAnsi="Arial" w:cs="Arial"/>
          <w:sz w:val="24"/>
          <w:szCs w:val="24"/>
        </w:rPr>
        <w:t>secure files therefore any costs is already included in the businesses existing overhead</w:t>
      </w:r>
      <w:r w:rsidR="00126426">
        <w:rPr>
          <w:rFonts w:ascii="Arial" w:hAnsi="Arial" w:cs="Arial"/>
          <w:sz w:val="24"/>
          <w:szCs w:val="24"/>
        </w:rPr>
        <w:t xml:space="preserve"> </w:t>
      </w:r>
      <w:r>
        <w:rPr>
          <w:rFonts w:ascii="Arial" w:hAnsi="Arial" w:cs="Arial"/>
          <w:sz w:val="24"/>
          <w:szCs w:val="24"/>
        </w:rPr>
        <w:t>expenses. If a business does not have a secure way to send the documents</w:t>
      </w:r>
      <w:r w:rsidR="00126426">
        <w:rPr>
          <w:rFonts w:ascii="Arial" w:hAnsi="Arial" w:cs="Arial"/>
          <w:sz w:val="24"/>
          <w:szCs w:val="24"/>
        </w:rPr>
        <w:t xml:space="preserve"> </w:t>
      </w:r>
      <w:r>
        <w:rPr>
          <w:rFonts w:ascii="Arial" w:hAnsi="Arial" w:cs="Arial"/>
          <w:sz w:val="24"/>
          <w:szCs w:val="24"/>
        </w:rPr>
        <w:t>electronically, they do not have to use the process provided in this regulation and can</w:t>
      </w:r>
      <w:r w:rsidR="00126426">
        <w:rPr>
          <w:rFonts w:ascii="Arial" w:hAnsi="Arial" w:cs="Arial"/>
          <w:sz w:val="24"/>
          <w:szCs w:val="24"/>
        </w:rPr>
        <w:t xml:space="preserve"> </w:t>
      </w:r>
      <w:r w:rsidRPr="00126426">
        <w:rPr>
          <w:rFonts w:ascii="Arial" w:hAnsi="Arial" w:cs="Arial"/>
          <w:sz w:val="24"/>
          <w:szCs w:val="24"/>
        </w:rPr>
        <w:t>continue to serve by US mail (as is the current standard</w:t>
      </w:r>
      <w:r w:rsidR="00041317" w:rsidRPr="00126426">
        <w:rPr>
          <w:rFonts w:ascii="Arial" w:hAnsi="Arial" w:cs="Arial"/>
          <w:sz w:val="24"/>
          <w:szCs w:val="24"/>
        </w:rPr>
        <w:t xml:space="preserve"> under regulation 36</w:t>
      </w:r>
      <w:r w:rsidRPr="00126426">
        <w:rPr>
          <w:rFonts w:ascii="Arial" w:hAnsi="Arial" w:cs="Arial"/>
          <w:sz w:val="24"/>
          <w:szCs w:val="24"/>
        </w:rPr>
        <w:t>).</w:t>
      </w:r>
    </w:p>
    <w:p w:rsidR="00F6481A" w:rsidRPr="00F6481A" w:rsidRDefault="00F6481A" w:rsidP="00F6481A">
      <w:pPr>
        <w:widowControl/>
        <w:autoSpaceDE/>
        <w:autoSpaceDN/>
        <w:adjustRightInd/>
        <w:spacing w:after="160" w:line="259" w:lineRule="auto"/>
        <w:rPr>
          <w:rFonts w:ascii="Arial" w:hAnsi="Arial" w:cs="Arial"/>
          <w:color w:val="000000"/>
          <w:sz w:val="24"/>
          <w:szCs w:val="24"/>
        </w:rPr>
      </w:pPr>
      <w:r w:rsidRPr="00F6481A">
        <w:rPr>
          <w:rFonts w:ascii="Arial" w:eastAsia="Calibri" w:hAnsi="Arial" w:cs="Arial"/>
          <w:sz w:val="24"/>
          <w:szCs w:val="24"/>
        </w:rPr>
        <w:lastRenderedPageBreak/>
        <w:t xml:space="preserve">Annual cost savings to physicians (QMEs) is estimated at </w:t>
      </w:r>
      <w:r w:rsidRPr="00F6481A">
        <w:rPr>
          <w:rFonts w:ascii="Arial" w:hAnsi="Arial" w:cs="Arial"/>
          <w:color w:val="000000"/>
          <w:sz w:val="24"/>
          <w:szCs w:val="24"/>
        </w:rPr>
        <w:t>$998,463.08 (see table below). The lifetime benefit is estimated at $9,984,630.80 ($998,463.08 x 10 years.)</w:t>
      </w:r>
    </w:p>
    <w:p w:rsidR="00F6481A" w:rsidRPr="00D939EA" w:rsidRDefault="00F6481A" w:rsidP="00F6481A">
      <w:pPr>
        <w:widowControl/>
        <w:autoSpaceDE/>
        <w:autoSpaceDN/>
        <w:adjustRightInd/>
        <w:spacing w:after="160" w:line="259" w:lineRule="auto"/>
        <w:rPr>
          <w:rFonts w:ascii="Arial" w:eastAsia="Calibri" w:hAnsi="Arial" w:cs="Arial"/>
          <w:b/>
          <w:sz w:val="24"/>
          <w:szCs w:val="24"/>
        </w:rPr>
      </w:pPr>
      <w:r w:rsidRPr="00D939EA">
        <w:rPr>
          <w:rFonts w:ascii="Arial" w:hAnsi="Arial" w:cs="Arial"/>
          <w:b/>
          <w:color w:val="000000"/>
          <w:sz w:val="24"/>
          <w:szCs w:val="24"/>
        </w:rPr>
        <w:t>ANNUAL BENEFITS FROM REGULATION</w:t>
      </w:r>
    </w:p>
    <w:tbl>
      <w:tblPr>
        <w:tblW w:w="9710" w:type="dxa"/>
        <w:jc w:val="center"/>
        <w:tblCellMar>
          <w:left w:w="115" w:type="dxa"/>
          <w:right w:w="115" w:type="dxa"/>
        </w:tblCellMar>
        <w:tblLook w:val="04A0" w:firstRow="1" w:lastRow="0" w:firstColumn="1" w:lastColumn="0" w:noHBand="0" w:noVBand="1"/>
        <w:tblCaption w:val="Annual Benefits From Regulation"/>
        <w:tblDescription w:val="Chart breaks down by billable codes potential cost savings of serving documents electronically."/>
      </w:tblPr>
      <w:tblGrid>
        <w:gridCol w:w="1260"/>
        <w:gridCol w:w="1450"/>
        <w:gridCol w:w="1420"/>
        <w:gridCol w:w="1660"/>
        <w:gridCol w:w="1200"/>
        <w:gridCol w:w="2720"/>
      </w:tblGrid>
      <w:tr w:rsidR="00F6481A" w:rsidRPr="00F6481A" w:rsidTr="00447202">
        <w:trPr>
          <w:cantSplit/>
          <w:trHeight w:val="945"/>
          <w:tblHeader/>
          <w:jc w:val="center"/>
        </w:trPr>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Billable Codes</w:t>
            </w:r>
            <w:r w:rsidRPr="00F6481A">
              <w:rPr>
                <w:rFonts w:ascii="Arial" w:hAnsi="Arial" w:cs="Arial"/>
                <w:color w:val="000000"/>
                <w:sz w:val="24"/>
                <w:szCs w:val="24"/>
                <w:vertAlign w:val="superscript"/>
              </w:rPr>
              <w:footnoteReference w:id="1"/>
            </w:r>
          </w:p>
          <w:p w:rsidR="00F6481A" w:rsidRPr="00F6481A" w:rsidRDefault="00F6481A" w:rsidP="00F6481A">
            <w:pPr>
              <w:widowControl/>
              <w:autoSpaceDE/>
              <w:autoSpaceDN/>
              <w:adjustRightInd/>
              <w:jc w:val="center"/>
              <w:rPr>
                <w:rFonts w:ascii="Arial" w:hAnsi="Arial" w:cs="Arial"/>
                <w:color w:val="000000"/>
                <w:sz w:val="24"/>
                <w:szCs w:val="24"/>
              </w:rPr>
            </w:pPr>
          </w:p>
        </w:tc>
        <w:tc>
          <w:tcPr>
            <w:tcW w:w="1450" w:type="dxa"/>
            <w:tcBorders>
              <w:top w:val="single" w:sz="8" w:space="0" w:color="auto"/>
              <w:left w:val="nil"/>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Number of Reports</w:t>
            </w:r>
            <w:r w:rsidRPr="00F6481A">
              <w:rPr>
                <w:rFonts w:ascii="Arial" w:hAnsi="Arial" w:cs="Arial"/>
                <w:color w:val="000000"/>
                <w:sz w:val="24"/>
                <w:szCs w:val="24"/>
                <w:vertAlign w:val="superscript"/>
              </w:rPr>
              <w:footnoteReference w:id="2"/>
            </w:r>
          </w:p>
          <w:p w:rsidR="00F6481A" w:rsidRPr="00F6481A" w:rsidRDefault="00F6481A" w:rsidP="00F6481A">
            <w:pPr>
              <w:widowControl/>
              <w:autoSpaceDE/>
              <w:autoSpaceDN/>
              <w:adjustRightInd/>
              <w:jc w:val="center"/>
              <w:rPr>
                <w:rFonts w:ascii="Arial" w:hAnsi="Arial" w:cs="Arial"/>
                <w:color w:val="000000"/>
                <w:sz w:val="24"/>
                <w:szCs w:val="24"/>
              </w:rPr>
            </w:pPr>
          </w:p>
          <w:p w:rsidR="00F6481A" w:rsidRPr="00F6481A" w:rsidRDefault="00F6481A" w:rsidP="00F6481A">
            <w:pPr>
              <w:widowControl/>
              <w:autoSpaceDE/>
              <w:autoSpaceDN/>
              <w:adjustRightInd/>
              <w:jc w:val="center"/>
              <w:rPr>
                <w:rFonts w:ascii="Arial" w:hAnsi="Arial" w:cs="Arial"/>
                <w:b/>
                <w:color w:val="000000"/>
                <w:sz w:val="24"/>
                <w:szCs w:val="24"/>
              </w:rPr>
            </w:pPr>
            <w:r w:rsidRPr="00F6481A">
              <w:rPr>
                <w:rFonts w:ascii="Arial" w:hAnsi="Arial" w:cs="Arial"/>
                <w:b/>
                <w:color w:val="FF0000"/>
                <w:sz w:val="24"/>
                <w:szCs w:val="24"/>
              </w:rPr>
              <w:t>A</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Estimated Pages Per Report</w:t>
            </w:r>
            <w:r w:rsidRPr="00F6481A">
              <w:rPr>
                <w:rFonts w:ascii="Arial" w:hAnsi="Arial" w:cs="Arial"/>
                <w:color w:val="000000"/>
                <w:sz w:val="24"/>
                <w:szCs w:val="24"/>
                <w:vertAlign w:val="superscript"/>
              </w:rPr>
              <w:footnoteReference w:id="3"/>
            </w:r>
          </w:p>
          <w:p w:rsidR="00F6481A" w:rsidRPr="00F6481A" w:rsidRDefault="00F6481A" w:rsidP="00F6481A">
            <w:pPr>
              <w:widowControl/>
              <w:autoSpaceDE/>
              <w:autoSpaceDN/>
              <w:adjustRightInd/>
              <w:jc w:val="center"/>
              <w:rPr>
                <w:rFonts w:ascii="Arial" w:hAnsi="Arial" w:cs="Arial"/>
                <w:b/>
                <w:color w:val="000000"/>
                <w:sz w:val="24"/>
                <w:szCs w:val="24"/>
              </w:rPr>
            </w:pPr>
            <w:r w:rsidRPr="00F6481A">
              <w:rPr>
                <w:rFonts w:ascii="Arial" w:hAnsi="Arial" w:cs="Arial"/>
                <w:b/>
                <w:color w:val="FF0000"/>
                <w:sz w:val="24"/>
                <w:szCs w:val="24"/>
              </w:rPr>
              <w:t>B</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Cost Per Page</w:t>
            </w:r>
            <w:r w:rsidRPr="00F6481A">
              <w:rPr>
                <w:rFonts w:ascii="Arial" w:hAnsi="Arial" w:cs="Arial"/>
                <w:color w:val="000000"/>
                <w:sz w:val="24"/>
                <w:szCs w:val="24"/>
                <w:vertAlign w:val="superscript"/>
              </w:rPr>
              <w:footnoteReference w:id="4"/>
            </w:r>
          </w:p>
          <w:p w:rsidR="00F6481A" w:rsidRPr="00F6481A" w:rsidRDefault="00F6481A" w:rsidP="00F6481A">
            <w:pPr>
              <w:widowControl/>
              <w:autoSpaceDE/>
              <w:autoSpaceDN/>
              <w:adjustRightInd/>
              <w:jc w:val="center"/>
              <w:rPr>
                <w:rFonts w:ascii="Arial" w:hAnsi="Arial" w:cs="Arial"/>
                <w:color w:val="000000"/>
                <w:sz w:val="24"/>
                <w:szCs w:val="24"/>
              </w:rPr>
            </w:pPr>
          </w:p>
          <w:p w:rsidR="00F6481A" w:rsidRPr="00F6481A" w:rsidRDefault="00F6481A" w:rsidP="00F6481A">
            <w:pPr>
              <w:widowControl/>
              <w:autoSpaceDE/>
              <w:autoSpaceDN/>
              <w:adjustRightInd/>
              <w:jc w:val="center"/>
              <w:rPr>
                <w:rFonts w:ascii="Arial" w:hAnsi="Arial" w:cs="Arial"/>
                <w:b/>
                <w:color w:val="000000"/>
                <w:sz w:val="24"/>
                <w:szCs w:val="24"/>
              </w:rPr>
            </w:pPr>
            <w:r w:rsidRPr="00F6481A">
              <w:rPr>
                <w:rFonts w:ascii="Arial" w:hAnsi="Arial" w:cs="Arial"/>
                <w:b/>
                <w:color w:val="FF0000"/>
                <w:sz w:val="24"/>
                <w:szCs w:val="24"/>
              </w:rPr>
              <w:t>C</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Postage Per Report</w:t>
            </w:r>
            <w:r w:rsidRPr="00F6481A">
              <w:rPr>
                <w:rFonts w:ascii="Arial" w:hAnsi="Arial" w:cs="Arial"/>
                <w:color w:val="000000"/>
                <w:sz w:val="24"/>
                <w:szCs w:val="24"/>
                <w:vertAlign w:val="superscript"/>
              </w:rPr>
              <w:footnoteReference w:id="5"/>
            </w:r>
          </w:p>
          <w:p w:rsidR="00F6481A" w:rsidRPr="00F6481A" w:rsidRDefault="00F6481A" w:rsidP="00F6481A">
            <w:pPr>
              <w:widowControl/>
              <w:autoSpaceDE/>
              <w:autoSpaceDN/>
              <w:adjustRightInd/>
              <w:jc w:val="center"/>
              <w:rPr>
                <w:rFonts w:ascii="Arial" w:hAnsi="Arial" w:cs="Arial"/>
                <w:b/>
                <w:color w:val="FF0000"/>
                <w:sz w:val="24"/>
                <w:szCs w:val="24"/>
              </w:rPr>
            </w:pPr>
            <w:r w:rsidRPr="00F6481A">
              <w:rPr>
                <w:rFonts w:ascii="Arial" w:hAnsi="Arial" w:cs="Arial"/>
                <w:b/>
                <w:color w:val="FF0000"/>
                <w:sz w:val="24"/>
                <w:szCs w:val="24"/>
              </w:rPr>
              <w:t>D</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Total</w:t>
            </w:r>
          </w:p>
          <w:p w:rsidR="00F6481A" w:rsidRPr="00F6481A" w:rsidRDefault="00F6481A" w:rsidP="00F6481A">
            <w:pPr>
              <w:widowControl/>
              <w:autoSpaceDE/>
              <w:autoSpaceDN/>
              <w:adjustRightInd/>
              <w:jc w:val="center"/>
              <w:rPr>
                <w:rFonts w:ascii="Arial" w:hAnsi="Arial" w:cs="Arial"/>
                <w:color w:val="000000"/>
                <w:sz w:val="24"/>
                <w:szCs w:val="24"/>
              </w:rPr>
            </w:pPr>
          </w:p>
          <w:p w:rsidR="00F6481A" w:rsidRPr="00F6481A" w:rsidRDefault="00F6481A" w:rsidP="00F6481A">
            <w:pPr>
              <w:widowControl/>
              <w:autoSpaceDE/>
              <w:autoSpaceDN/>
              <w:adjustRightInd/>
              <w:jc w:val="center"/>
              <w:rPr>
                <w:rFonts w:ascii="Arial" w:hAnsi="Arial" w:cs="Arial"/>
                <w:color w:val="000000"/>
                <w:sz w:val="24"/>
                <w:szCs w:val="24"/>
              </w:rPr>
            </w:pPr>
          </w:p>
          <w:p w:rsidR="00F6481A" w:rsidRPr="00F6481A" w:rsidRDefault="00F6481A" w:rsidP="00F6481A">
            <w:pPr>
              <w:widowControl/>
              <w:autoSpaceDE/>
              <w:autoSpaceDN/>
              <w:adjustRightInd/>
              <w:jc w:val="center"/>
              <w:rPr>
                <w:rFonts w:ascii="Arial" w:hAnsi="Arial" w:cs="Arial"/>
                <w:b/>
                <w:color w:val="FF0000"/>
                <w:sz w:val="24"/>
                <w:szCs w:val="24"/>
              </w:rPr>
            </w:pPr>
            <w:r w:rsidRPr="00F6481A">
              <w:rPr>
                <w:rFonts w:ascii="Arial" w:hAnsi="Arial" w:cs="Arial"/>
                <w:b/>
                <w:color w:val="FF0000"/>
                <w:sz w:val="24"/>
                <w:szCs w:val="24"/>
              </w:rPr>
              <w:t>E = (AxBxC) + (AxD)</w:t>
            </w:r>
          </w:p>
        </w:tc>
      </w:tr>
      <w:tr w:rsidR="00F6481A"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ML101</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12,082</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30</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$0.055</w:t>
            </w:r>
          </w:p>
        </w:tc>
        <w:tc>
          <w:tcPr>
            <w:tcW w:w="120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$5.00</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$80,345.30 </w:t>
            </w:r>
          </w:p>
        </w:tc>
      </w:tr>
      <w:tr w:rsidR="00F6481A"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ML102</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44,950</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30</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$0.055</w:t>
            </w:r>
          </w:p>
        </w:tc>
        <w:tc>
          <w:tcPr>
            <w:tcW w:w="120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$5.00</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$298,917.50 </w:t>
            </w:r>
          </w:p>
        </w:tc>
      </w:tr>
      <w:tr w:rsidR="00F6481A"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ML103</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21</w:t>
            </w:r>
            <w:bookmarkStart w:id="0" w:name="_GoBack"/>
            <w:bookmarkEnd w:id="0"/>
            <w:r w:rsidRPr="00F6481A">
              <w:rPr>
                <w:rFonts w:ascii="Arial" w:hAnsi="Arial" w:cs="Arial"/>
                <w:color w:val="000000"/>
                <w:sz w:val="24"/>
                <w:szCs w:val="24"/>
              </w:rPr>
              <w:t>,204</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30</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$0.055</w:t>
            </w:r>
          </w:p>
        </w:tc>
        <w:tc>
          <w:tcPr>
            <w:tcW w:w="120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$5.00</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$141,006.60 </w:t>
            </w:r>
          </w:p>
        </w:tc>
      </w:tr>
      <w:tr w:rsidR="00F6481A"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ML104</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49,624</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$0.055</w:t>
            </w:r>
          </w:p>
        </w:tc>
        <w:tc>
          <w:tcPr>
            <w:tcW w:w="120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$5.00</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$384,586.00 </w:t>
            </w:r>
          </w:p>
        </w:tc>
      </w:tr>
      <w:tr w:rsidR="00F6481A" w:rsidRPr="00F6481A" w:rsidTr="00447202">
        <w:trPr>
          <w:cantSplit/>
          <w:trHeight w:val="54"/>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ML 106</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76,834</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10</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$0.055</w:t>
            </w:r>
          </w:p>
        </w:tc>
        <w:tc>
          <w:tcPr>
            <w:tcW w:w="120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$5.00</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$426,428.70 </w:t>
            </w:r>
          </w:p>
        </w:tc>
      </w:tr>
      <w:tr w:rsidR="00F6481A"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rsidR="00F6481A"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w:t>
            </w:r>
            <w:r w:rsidR="00F6481A" w:rsidRPr="006B5018">
              <w:rPr>
                <w:rFonts w:ascii="Arial" w:hAnsi="Arial" w:cs="Arial"/>
                <w:color w:val="FFFFFF" w:themeColor="background1"/>
                <w:sz w:val="24"/>
                <w:szCs w:val="24"/>
              </w:rPr>
              <w:t> </w:t>
            </w:r>
          </w:p>
        </w:tc>
        <w:tc>
          <w:tcPr>
            <w:tcW w:w="1450" w:type="dxa"/>
            <w:tcBorders>
              <w:top w:val="nil"/>
              <w:left w:val="nil"/>
              <w:bottom w:val="single" w:sz="8" w:space="0" w:color="auto"/>
              <w:right w:val="single" w:sz="8" w:space="0" w:color="auto"/>
            </w:tcBorders>
            <w:shd w:val="clear" w:color="auto" w:fill="auto"/>
            <w:noWrap/>
            <w:vAlign w:val="center"/>
            <w:hideMark/>
          </w:tcPr>
          <w:p w:rsidR="00F6481A"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r w:rsidR="00F6481A" w:rsidRPr="006B5018">
              <w:rPr>
                <w:rFonts w:ascii="Arial" w:hAnsi="Arial" w:cs="Arial"/>
                <w:color w:val="FFFFFF" w:themeColor="background1"/>
                <w:sz w:val="24"/>
                <w:szCs w:val="24"/>
              </w:rPr>
              <w:t> </w:t>
            </w:r>
          </w:p>
        </w:tc>
        <w:tc>
          <w:tcPr>
            <w:tcW w:w="1420" w:type="dxa"/>
            <w:tcBorders>
              <w:top w:val="nil"/>
              <w:left w:val="nil"/>
              <w:bottom w:val="single" w:sz="8" w:space="0" w:color="auto"/>
              <w:right w:val="single" w:sz="8" w:space="0" w:color="auto"/>
            </w:tcBorders>
            <w:shd w:val="clear" w:color="auto" w:fill="auto"/>
            <w:noWrap/>
            <w:vAlign w:val="center"/>
            <w:hideMark/>
          </w:tcPr>
          <w:p w:rsidR="00F6481A"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r w:rsidR="00F6481A" w:rsidRPr="006B5018">
              <w:rPr>
                <w:rFonts w:ascii="Arial" w:hAnsi="Arial" w:cs="Arial"/>
                <w:color w:val="FFFFFF" w:themeColor="background1"/>
                <w:sz w:val="24"/>
                <w:szCs w:val="24"/>
              </w:rPr>
              <w:t> </w:t>
            </w:r>
          </w:p>
        </w:tc>
        <w:tc>
          <w:tcPr>
            <w:tcW w:w="166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Total</w:t>
            </w:r>
          </w:p>
        </w:tc>
        <w:tc>
          <w:tcPr>
            <w:tcW w:w="1200" w:type="dxa"/>
            <w:tcBorders>
              <w:top w:val="nil"/>
              <w:left w:val="nil"/>
              <w:bottom w:val="single" w:sz="8" w:space="0" w:color="auto"/>
              <w:right w:val="single" w:sz="8" w:space="0" w:color="auto"/>
            </w:tcBorders>
            <w:shd w:val="clear" w:color="auto" w:fill="auto"/>
            <w:noWrap/>
            <w:vAlign w:val="bottom"/>
            <w:hideMark/>
          </w:tcPr>
          <w:p w:rsidR="00F6481A" w:rsidRPr="006B5018" w:rsidRDefault="00F6481A" w:rsidP="00F6481A">
            <w:pPr>
              <w:widowControl/>
              <w:autoSpaceDE/>
              <w:autoSpaceDN/>
              <w:adjustRightInd/>
              <w:rPr>
                <w:rFonts w:ascii="Calibri" w:hAnsi="Calibri" w:cs="Calibri"/>
                <w:color w:val="FFFFFF" w:themeColor="background1"/>
                <w:sz w:val="22"/>
                <w:szCs w:val="22"/>
              </w:rPr>
            </w:pPr>
            <w:r w:rsidRPr="00F6481A">
              <w:rPr>
                <w:rFonts w:ascii="Calibri" w:hAnsi="Calibri" w:cs="Calibri"/>
                <w:color w:val="000000"/>
                <w:sz w:val="22"/>
                <w:szCs w:val="22"/>
              </w:rPr>
              <w:t> </w:t>
            </w:r>
            <w:r w:rsidR="006B5018" w:rsidRPr="006B5018">
              <w:rPr>
                <w:rFonts w:ascii="Arial" w:hAnsi="Arial" w:cs="Arial"/>
                <w:color w:val="FFFFFF" w:themeColor="background1"/>
                <w:sz w:val="24"/>
                <w:szCs w:val="24"/>
              </w:rPr>
              <w:t>empty </w:t>
            </w:r>
          </w:p>
        </w:tc>
        <w:tc>
          <w:tcPr>
            <w:tcW w:w="2720" w:type="dxa"/>
            <w:tcBorders>
              <w:top w:val="nil"/>
              <w:left w:val="nil"/>
              <w:bottom w:val="single" w:sz="8" w:space="0" w:color="auto"/>
              <w:right w:val="single" w:sz="8" w:space="0" w:color="auto"/>
            </w:tcBorders>
            <w:shd w:val="clear" w:color="auto" w:fill="auto"/>
            <w:noWrap/>
            <w:vAlign w:val="center"/>
            <w:hideMark/>
          </w:tcPr>
          <w:p w:rsidR="00F6481A" w:rsidRPr="00F6481A" w:rsidRDefault="00F6481A" w:rsidP="00F6481A">
            <w:pPr>
              <w:widowControl/>
              <w:autoSpaceDE/>
              <w:autoSpaceDN/>
              <w:adjustRightInd/>
              <w:jc w:val="center"/>
              <w:rPr>
                <w:rFonts w:ascii="Arial" w:hAnsi="Arial" w:cs="Arial"/>
                <w:color w:val="000000"/>
                <w:sz w:val="24"/>
                <w:szCs w:val="24"/>
              </w:rPr>
            </w:pPr>
            <w:r w:rsidRPr="00F6481A">
              <w:rPr>
                <w:rFonts w:ascii="Arial" w:hAnsi="Arial" w:cs="Arial"/>
                <w:color w:val="000000"/>
                <w:sz w:val="24"/>
                <w:szCs w:val="24"/>
              </w:rPr>
              <w:t xml:space="preserve">$1,331,284.10 </w:t>
            </w:r>
          </w:p>
        </w:tc>
      </w:tr>
      <w:tr w:rsidR="00447202" w:rsidRPr="00F6481A" w:rsidTr="00447202">
        <w:trPr>
          <w:cantSplit/>
          <w:trHeight w:val="315"/>
          <w:tblHeader/>
          <w:jc w:val="center"/>
        </w:trPr>
        <w:tc>
          <w:tcPr>
            <w:tcW w:w="1260" w:type="dxa"/>
            <w:tcBorders>
              <w:top w:val="nil"/>
              <w:left w:val="single" w:sz="8" w:space="0" w:color="auto"/>
              <w:bottom w:val="single" w:sz="8" w:space="0" w:color="auto"/>
              <w:right w:val="single" w:sz="8" w:space="0" w:color="auto"/>
            </w:tcBorders>
            <w:shd w:val="clear" w:color="auto" w:fill="auto"/>
            <w:noWrap/>
            <w:vAlign w:val="center"/>
          </w:tcPr>
          <w:p w:rsidR="00447202"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p>
        </w:tc>
        <w:tc>
          <w:tcPr>
            <w:tcW w:w="1450" w:type="dxa"/>
            <w:tcBorders>
              <w:top w:val="nil"/>
              <w:left w:val="nil"/>
              <w:bottom w:val="single" w:sz="8" w:space="0" w:color="auto"/>
              <w:right w:val="single" w:sz="8" w:space="0" w:color="auto"/>
            </w:tcBorders>
            <w:shd w:val="clear" w:color="auto" w:fill="auto"/>
            <w:noWrap/>
            <w:vAlign w:val="center"/>
          </w:tcPr>
          <w:p w:rsidR="00447202"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p>
        </w:tc>
        <w:tc>
          <w:tcPr>
            <w:tcW w:w="1420" w:type="dxa"/>
            <w:tcBorders>
              <w:top w:val="nil"/>
              <w:left w:val="nil"/>
              <w:bottom w:val="single" w:sz="8" w:space="0" w:color="auto"/>
              <w:right w:val="single" w:sz="8" w:space="0" w:color="auto"/>
            </w:tcBorders>
            <w:shd w:val="clear" w:color="auto" w:fill="auto"/>
            <w:noWrap/>
            <w:vAlign w:val="center"/>
          </w:tcPr>
          <w:p w:rsidR="00447202"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p>
        </w:tc>
        <w:tc>
          <w:tcPr>
            <w:tcW w:w="1660" w:type="dxa"/>
            <w:tcBorders>
              <w:top w:val="nil"/>
              <w:left w:val="nil"/>
              <w:bottom w:val="single" w:sz="8" w:space="0" w:color="auto"/>
              <w:right w:val="single" w:sz="8" w:space="0" w:color="auto"/>
            </w:tcBorders>
            <w:shd w:val="clear" w:color="auto" w:fill="auto"/>
            <w:noWrap/>
            <w:vAlign w:val="center"/>
          </w:tcPr>
          <w:p w:rsidR="00447202" w:rsidRPr="00F6481A" w:rsidRDefault="006B5018" w:rsidP="00F6481A">
            <w:pPr>
              <w:widowControl/>
              <w:autoSpaceDE/>
              <w:autoSpaceDN/>
              <w:adjustRightInd/>
              <w:jc w:val="center"/>
              <w:rPr>
                <w:rFonts w:ascii="Arial" w:hAnsi="Arial" w:cs="Arial"/>
                <w:color w:val="000000"/>
                <w:sz w:val="24"/>
                <w:szCs w:val="24"/>
              </w:rPr>
            </w:pPr>
            <w:r>
              <w:rPr>
                <w:rFonts w:ascii="Arial" w:hAnsi="Arial" w:cs="Arial"/>
                <w:color w:val="000000"/>
                <w:sz w:val="24"/>
                <w:szCs w:val="24"/>
              </w:rPr>
              <w:t>75% of Total</w:t>
            </w:r>
            <w:r w:rsidRPr="00F6481A">
              <w:rPr>
                <w:rFonts w:ascii="Arial" w:hAnsi="Arial" w:cs="Arial"/>
                <w:color w:val="000000"/>
                <w:sz w:val="24"/>
                <w:szCs w:val="24"/>
                <w:vertAlign w:val="superscript"/>
              </w:rPr>
              <w:footnoteReference w:id="6"/>
            </w:r>
          </w:p>
        </w:tc>
        <w:tc>
          <w:tcPr>
            <w:tcW w:w="1200" w:type="dxa"/>
            <w:tcBorders>
              <w:top w:val="nil"/>
              <w:left w:val="nil"/>
              <w:bottom w:val="single" w:sz="8" w:space="0" w:color="auto"/>
              <w:right w:val="single" w:sz="8" w:space="0" w:color="auto"/>
            </w:tcBorders>
            <w:shd w:val="clear" w:color="auto" w:fill="auto"/>
            <w:noWrap/>
            <w:vAlign w:val="center"/>
          </w:tcPr>
          <w:p w:rsidR="00447202" w:rsidRPr="006B5018" w:rsidRDefault="006B5018" w:rsidP="00F6481A">
            <w:pPr>
              <w:widowControl/>
              <w:autoSpaceDE/>
              <w:autoSpaceDN/>
              <w:adjustRightInd/>
              <w:jc w:val="center"/>
              <w:rPr>
                <w:rFonts w:ascii="Arial" w:hAnsi="Arial" w:cs="Arial"/>
                <w:color w:val="FFFFFF" w:themeColor="background1"/>
                <w:sz w:val="24"/>
                <w:szCs w:val="24"/>
              </w:rPr>
            </w:pPr>
            <w:r w:rsidRPr="006B5018">
              <w:rPr>
                <w:rFonts w:ascii="Arial" w:hAnsi="Arial" w:cs="Arial"/>
                <w:color w:val="FFFFFF" w:themeColor="background1"/>
                <w:sz w:val="24"/>
                <w:szCs w:val="24"/>
              </w:rPr>
              <w:t>empty </w:t>
            </w:r>
          </w:p>
        </w:tc>
        <w:tc>
          <w:tcPr>
            <w:tcW w:w="2720" w:type="dxa"/>
            <w:tcBorders>
              <w:top w:val="nil"/>
              <w:left w:val="nil"/>
              <w:bottom w:val="single" w:sz="8" w:space="0" w:color="auto"/>
              <w:right w:val="single" w:sz="8" w:space="0" w:color="auto"/>
            </w:tcBorders>
            <w:shd w:val="clear" w:color="auto" w:fill="auto"/>
            <w:noWrap/>
            <w:vAlign w:val="center"/>
          </w:tcPr>
          <w:p w:rsidR="00447202" w:rsidRPr="00F6481A" w:rsidRDefault="006B5018" w:rsidP="00F6481A">
            <w:pPr>
              <w:widowControl/>
              <w:autoSpaceDE/>
              <w:autoSpaceDN/>
              <w:adjustRightInd/>
              <w:jc w:val="center"/>
              <w:rPr>
                <w:rFonts w:ascii="Arial" w:hAnsi="Arial" w:cs="Arial"/>
                <w:color w:val="000000"/>
                <w:sz w:val="24"/>
                <w:szCs w:val="24"/>
              </w:rPr>
            </w:pPr>
            <w:r>
              <w:rPr>
                <w:rFonts w:ascii="Arial" w:hAnsi="Arial" w:cs="Arial"/>
                <w:color w:val="000000"/>
                <w:sz w:val="24"/>
                <w:szCs w:val="24"/>
              </w:rPr>
              <w:t>$998,463.08</w:t>
            </w:r>
          </w:p>
        </w:tc>
      </w:tr>
    </w:tbl>
    <w:p w:rsidR="00F55838" w:rsidRDefault="00F55838">
      <w:pPr>
        <w:widowControl/>
        <w:rPr>
          <w:rFonts w:ascii="Arial" w:hAnsi="Arial" w:cs="Arial"/>
          <w:b/>
          <w:color w:val="000000"/>
          <w:sz w:val="28"/>
          <w:szCs w:val="28"/>
        </w:rPr>
      </w:pPr>
    </w:p>
    <w:p w:rsidR="005F5048" w:rsidRPr="00174C97" w:rsidRDefault="005F5048">
      <w:pPr>
        <w:widowControl/>
        <w:rPr>
          <w:rFonts w:ascii="Arial" w:hAnsi="Arial" w:cs="Arial"/>
          <w:color w:val="000000"/>
          <w:sz w:val="28"/>
          <w:szCs w:val="28"/>
        </w:rPr>
      </w:pPr>
    </w:p>
    <w:p w:rsidR="00174C97" w:rsidRPr="00D939EA" w:rsidRDefault="00174C97">
      <w:pPr>
        <w:widowControl/>
        <w:rPr>
          <w:rFonts w:ascii="Arial" w:hAnsi="Arial" w:cs="Arial"/>
          <w:b/>
          <w:color w:val="000000"/>
          <w:sz w:val="24"/>
          <w:szCs w:val="24"/>
          <w:u w:val="single"/>
        </w:rPr>
      </w:pPr>
      <w:r w:rsidRPr="00D939EA">
        <w:rPr>
          <w:rFonts w:ascii="Arial" w:hAnsi="Arial" w:cs="Arial"/>
          <w:b/>
          <w:color w:val="000000"/>
          <w:sz w:val="24"/>
          <w:szCs w:val="24"/>
          <w:u w:val="single"/>
        </w:rPr>
        <w:t>Statement consistent with California Gove</w:t>
      </w:r>
      <w:r w:rsidR="00690A49" w:rsidRPr="00D939EA">
        <w:rPr>
          <w:rFonts w:ascii="Arial" w:hAnsi="Arial" w:cs="Arial"/>
          <w:b/>
          <w:color w:val="000000"/>
          <w:sz w:val="24"/>
          <w:szCs w:val="24"/>
          <w:u w:val="single"/>
        </w:rPr>
        <w:t>rnment Code section 11346.3(b):</w:t>
      </w:r>
    </w:p>
    <w:p w:rsidR="00174C97" w:rsidRDefault="00174C97">
      <w:pPr>
        <w:widowControl/>
        <w:rPr>
          <w:rFonts w:ascii="Arial" w:hAnsi="Arial" w:cs="Arial"/>
          <w:color w:val="000000"/>
          <w:sz w:val="24"/>
          <w:szCs w:val="24"/>
        </w:rPr>
      </w:pPr>
    </w:p>
    <w:p w:rsidR="00174C97" w:rsidRDefault="00174C97">
      <w:pPr>
        <w:widowControl/>
        <w:rPr>
          <w:rFonts w:ascii="Arial" w:hAnsi="Arial" w:cs="Arial"/>
          <w:color w:val="000000"/>
          <w:sz w:val="24"/>
          <w:szCs w:val="24"/>
        </w:rPr>
      </w:pPr>
      <w:r>
        <w:rPr>
          <w:rFonts w:ascii="Arial" w:hAnsi="Arial" w:cs="Arial"/>
          <w:color w:val="000000"/>
          <w:sz w:val="24"/>
          <w:szCs w:val="24"/>
        </w:rPr>
        <w:t xml:space="preserve">The Administrative Director </w:t>
      </w:r>
      <w:r w:rsidR="00690A49">
        <w:rPr>
          <w:rFonts w:ascii="Arial" w:hAnsi="Arial" w:cs="Arial"/>
          <w:color w:val="000000"/>
          <w:sz w:val="24"/>
          <w:szCs w:val="24"/>
        </w:rPr>
        <w:t>has determined that the adoption of this regulation</w:t>
      </w:r>
      <w:r w:rsidR="004C0EF7">
        <w:rPr>
          <w:rFonts w:ascii="Arial" w:hAnsi="Arial" w:cs="Arial"/>
          <w:color w:val="000000"/>
          <w:sz w:val="24"/>
          <w:szCs w:val="24"/>
        </w:rPr>
        <w:t xml:space="preserve"> will</w:t>
      </w:r>
      <w:r w:rsidR="00690A49">
        <w:rPr>
          <w:rFonts w:ascii="Arial" w:hAnsi="Arial" w:cs="Arial"/>
          <w:color w:val="000000"/>
          <w:sz w:val="24"/>
          <w:szCs w:val="24"/>
        </w:rPr>
        <w:t xml:space="preserve"> neither create not eliminate jobs within the state.  This regulation provides physicians with an alternative means to communicate their reporting to parties</w:t>
      </w:r>
      <w:r w:rsidR="004C0EF7">
        <w:rPr>
          <w:rFonts w:ascii="Arial" w:hAnsi="Arial" w:cs="Arial"/>
          <w:color w:val="000000"/>
          <w:sz w:val="24"/>
          <w:szCs w:val="24"/>
        </w:rPr>
        <w:t xml:space="preserve"> and therefore the current jobs that support this process will still be needed and the only change is how the service can be completed. </w:t>
      </w:r>
    </w:p>
    <w:p w:rsidR="00690A49" w:rsidRDefault="00690A49">
      <w:pPr>
        <w:widowControl/>
        <w:rPr>
          <w:rFonts w:ascii="Arial" w:hAnsi="Arial" w:cs="Arial"/>
          <w:color w:val="000000"/>
          <w:sz w:val="24"/>
          <w:szCs w:val="24"/>
        </w:rPr>
      </w:pPr>
    </w:p>
    <w:p w:rsidR="00690A49" w:rsidRDefault="00690A49">
      <w:pPr>
        <w:widowControl/>
        <w:rPr>
          <w:rFonts w:ascii="Arial" w:hAnsi="Arial" w:cs="Arial"/>
          <w:color w:val="000000"/>
          <w:sz w:val="24"/>
          <w:szCs w:val="24"/>
        </w:rPr>
      </w:pPr>
      <w:r>
        <w:rPr>
          <w:rFonts w:ascii="Arial" w:hAnsi="Arial" w:cs="Arial"/>
          <w:color w:val="000000"/>
          <w:sz w:val="24"/>
          <w:szCs w:val="24"/>
        </w:rPr>
        <w:t xml:space="preserve">The Administrative Director has determined that the adoption of this regulation would not create or eliminate business within the state. This regulation provides for a mechanism for service of </w:t>
      </w:r>
      <w:r w:rsidR="00041317">
        <w:rPr>
          <w:rFonts w:ascii="Arial" w:hAnsi="Arial" w:cs="Arial"/>
          <w:color w:val="000000"/>
          <w:sz w:val="24"/>
          <w:szCs w:val="24"/>
        </w:rPr>
        <w:t xml:space="preserve">the </w:t>
      </w:r>
      <w:r>
        <w:rPr>
          <w:rFonts w:ascii="Arial" w:hAnsi="Arial" w:cs="Arial"/>
          <w:color w:val="000000"/>
          <w:sz w:val="24"/>
          <w:szCs w:val="24"/>
        </w:rPr>
        <w:t xml:space="preserve">medical-legal report and supporting documents, it does not change the obligation of the business to continue to provide the same services. </w:t>
      </w:r>
    </w:p>
    <w:p w:rsidR="00690A49" w:rsidRDefault="00690A49">
      <w:pPr>
        <w:widowControl/>
        <w:rPr>
          <w:rFonts w:ascii="Arial" w:hAnsi="Arial" w:cs="Arial"/>
          <w:color w:val="000000"/>
          <w:sz w:val="24"/>
          <w:szCs w:val="24"/>
        </w:rPr>
      </w:pPr>
    </w:p>
    <w:p w:rsidR="00F55838" w:rsidRPr="002D3D97" w:rsidRDefault="00690A49" w:rsidP="00546056">
      <w:pPr>
        <w:widowControl/>
        <w:rPr>
          <w:rFonts w:ascii="Arial" w:hAnsi="Arial" w:cs="Arial"/>
          <w:sz w:val="24"/>
          <w:szCs w:val="24"/>
        </w:rPr>
      </w:pPr>
      <w:r>
        <w:rPr>
          <w:rFonts w:ascii="Arial" w:hAnsi="Arial" w:cs="Arial"/>
          <w:color w:val="000000"/>
          <w:sz w:val="24"/>
          <w:szCs w:val="24"/>
        </w:rPr>
        <w:t xml:space="preserve">The Administrative Director has determined that the adoption of this regulation would not expand the business of businesses currently within the state. This regulation only provides for an alternative to current requirements from paper to electronic means this would </w:t>
      </w:r>
      <w:r w:rsidR="00546056">
        <w:rPr>
          <w:rFonts w:ascii="Arial" w:hAnsi="Arial" w:cs="Arial"/>
          <w:color w:val="000000"/>
          <w:sz w:val="24"/>
          <w:szCs w:val="24"/>
        </w:rPr>
        <w:t xml:space="preserve">not </w:t>
      </w:r>
      <w:r>
        <w:rPr>
          <w:rFonts w:ascii="Arial" w:hAnsi="Arial" w:cs="Arial"/>
          <w:color w:val="000000"/>
          <w:sz w:val="24"/>
          <w:szCs w:val="24"/>
        </w:rPr>
        <w:t>result in an expansion of bus</w:t>
      </w:r>
      <w:r w:rsidR="00546056">
        <w:rPr>
          <w:rFonts w:ascii="Arial" w:hAnsi="Arial" w:cs="Arial"/>
          <w:color w:val="000000"/>
          <w:sz w:val="24"/>
          <w:szCs w:val="24"/>
        </w:rPr>
        <w:t xml:space="preserve">iness as it only addresses the processes that govern the administration of the QME program and does not expand the program. </w:t>
      </w:r>
    </w:p>
    <w:p w:rsidR="00755BF7" w:rsidRPr="002D3D97" w:rsidRDefault="00755BF7" w:rsidP="00755BF7">
      <w:pPr>
        <w:widowControl/>
        <w:rPr>
          <w:rFonts w:ascii="Arial" w:hAnsi="Arial" w:cs="Arial"/>
          <w:sz w:val="24"/>
          <w:szCs w:val="24"/>
        </w:rPr>
      </w:pPr>
    </w:p>
    <w:p w:rsidR="002D5509" w:rsidRPr="002D3D97" w:rsidRDefault="002D5509" w:rsidP="002D1E8B">
      <w:pPr>
        <w:widowControl/>
        <w:rPr>
          <w:rFonts w:ascii="Arial" w:hAnsi="Arial" w:cs="Arial"/>
          <w:color w:val="000000"/>
          <w:sz w:val="24"/>
          <w:szCs w:val="24"/>
        </w:rPr>
      </w:pPr>
    </w:p>
    <w:p w:rsidR="00AF5455" w:rsidRPr="002D3D97" w:rsidRDefault="00AF5455" w:rsidP="001332EC">
      <w:pPr>
        <w:widowControl/>
        <w:jc w:val="center"/>
        <w:outlineLvl w:val="0"/>
        <w:rPr>
          <w:rFonts w:ascii="Arial" w:hAnsi="Arial" w:cs="Arial"/>
          <w:b/>
          <w:caps/>
          <w:color w:val="000000"/>
          <w:sz w:val="28"/>
          <w:szCs w:val="28"/>
        </w:rPr>
      </w:pPr>
      <w:r w:rsidRPr="002D3D97">
        <w:rPr>
          <w:rFonts w:ascii="Arial" w:hAnsi="Arial" w:cs="Arial"/>
          <w:b/>
          <w:caps/>
          <w:color w:val="000000"/>
          <w:sz w:val="28"/>
          <w:szCs w:val="28"/>
        </w:rPr>
        <w:t xml:space="preserve">Article </w:t>
      </w:r>
      <w:r w:rsidR="008B4643" w:rsidRPr="002D3D97">
        <w:rPr>
          <w:rFonts w:ascii="Arial" w:hAnsi="Arial" w:cs="Arial"/>
          <w:b/>
          <w:caps/>
          <w:color w:val="000000"/>
          <w:sz w:val="28"/>
          <w:szCs w:val="28"/>
        </w:rPr>
        <w:t>3</w:t>
      </w:r>
      <w:r w:rsidRPr="002D3D97">
        <w:rPr>
          <w:rFonts w:ascii="Arial" w:hAnsi="Arial" w:cs="Arial"/>
          <w:b/>
          <w:caps/>
          <w:color w:val="000000"/>
          <w:sz w:val="28"/>
          <w:szCs w:val="28"/>
        </w:rPr>
        <w:t xml:space="preserve">. </w:t>
      </w:r>
      <w:r w:rsidR="004B73A9" w:rsidRPr="002D3D97">
        <w:rPr>
          <w:rFonts w:ascii="Arial" w:hAnsi="Arial" w:cs="Arial"/>
          <w:b/>
          <w:caps/>
          <w:color w:val="000000"/>
          <w:sz w:val="28"/>
          <w:szCs w:val="28"/>
        </w:rPr>
        <w:t xml:space="preserve">ASSIGNMENT OF QUALIFIED MEDICAL EVALUATORS, </w:t>
      </w:r>
      <w:r w:rsidRPr="002D3D97">
        <w:rPr>
          <w:rFonts w:ascii="Arial" w:hAnsi="Arial" w:cs="Arial"/>
          <w:b/>
          <w:caps/>
          <w:color w:val="000000"/>
          <w:sz w:val="28"/>
          <w:szCs w:val="28"/>
        </w:rPr>
        <w:t>Evaluation Procedures</w:t>
      </w:r>
    </w:p>
    <w:p w:rsidR="009012C4" w:rsidRPr="002D3D97" w:rsidRDefault="009012C4" w:rsidP="009012C4">
      <w:pPr>
        <w:widowControl/>
        <w:rPr>
          <w:rFonts w:ascii="Arial" w:hAnsi="Arial" w:cs="Arial"/>
          <w:b/>
          <w:color w:val="000000"/>
          <w:sz w:val="24"/>
          <w:szCs w:val="24"/>
        </w:rPr>
      </w:pPr>
    </w:p>
    <w:p w:rsidR="00B041A9" w:rsidRPr="00126426" w:rsidRDefault="00B041A9" w:rsidP="00B04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u w:val="single"/>
        </w:rPr>
      </w:pPr>
      <w:r w:rsidRPr="00126426">
        <w:rPr>
          <w:rFonts w:ascii="Arial" w:hAnsi="Arial" w:cs="Arial"/>
          <w:b/>
          <w:sz w:val="24"/>
          <w:szCs w:val="24"/>
          <w:u w:val="single"/>
        </w:rPr>
        <w:t>Necessity:</w:t>
      </w:r>
    </w:p>
    <w:p w:rsidR="00B041A9" w:rsidRPr="002D3D97" w:rsidRDefault="00B041A9" w:rsidP="00B041A9">
      <w:pPr>
        <w:rPr>
          <w:rFonts w:ascii="Arial" w:hAnsi="Arial" w:cs="Arial"/>
          <w:sz w:val="24"/>
          <w:szCs w:val="24"/>
          <w:lang w:val="en"/>
        </w:rPr>
      </w:pPr>
    </w:p>
    <w:p w:rsidR="00C61827" w:rsidRDefault="00B041A9" w:rsidP="00C61827">
      <w:pPr>
        <w:rPr>
          <w:rFonts w:ascii="Arial" w:hAnsi="Arial" w:cs="Arial"/>
          <w:sz w:val="24"/>
          <w:szCs w:val="24"/>
        </w:rPr>
      </w:pPr>
      <w:r w:rsidRPr="002D3D97">
        <w:rPr>
          <w:rFonts w:ascii="Arial" w:hAnsi="Arial" w:cs="Arial"/>
          <w:b/>
          <w:sz w:val="24"/>
          <w:szCs w:val="24"/>
          <w:lang w:val="en"/>
        </w:rPr>
        <w:t>Section 36.7</w:t>
      </w:r>
      <w:r w:rsidRPr="002D3D97">
        <w:rPr>
          <w:rFonts w:ascii="Arial" w:hAnsi="Arial" w:cs="Arial"/>
          <w:sz w:val="24"/>
          <w:szCs w:val="24"/>
          <w:lang w:val="en"/>
        </w:rPr>
        <w:t xml:space="preserve"> allows for the electronic service of </w:t>
      </w:r>
      <w:r w:rsidR="00041317">
        <w:rPr>
          <w:rFonts w:ascii="Arial" w:hAnsi="Arial" w:cs="Arial"/>
          <w:sz w:val="24"/>
          <w:szCs w:val="24"/>
          <w:lang w:val="en"/>
        </w:rPr>
        <w:t xml:space="preserve">the </w:t>
      </w:r>
      <w:r w:rsidRPr="002D3D97">
        <w:rPr>
          <w:rFonts w:ascii="Arial" w:hAnsi="Arial" w:cs="Arial"/>
          <w:sz w:val="24"/>
          <w:szCs w:val="24"/>
          <w:lang w:val="en"/>
        </w:rPr>
        <w:t xml:space="preserve">medical-legal report by medical evaluators. </w:t>
      </w:r>
      <w:r w:rsidR="00C61827">
        <w:rPr>
          <w:rFonts w:ascii="Arial" w:hAnsi="Arial" w:cs="Arial"/>
          <w:sz w:val="24"/>
          <w:szCs w:val="24"/>
          <w:lang w:val="en"/>
        </w:rPr>
        <w:t>Currently regulation 36 provides for service of these documents by US Mail.  This regulation is necessary to</w:t>
      </w:r>
      <w:r w:rsidR="00C61827" w:rsidRPr="002D3D97">
        <w:rPr>
          <w:rFonts w:ascii="Arial" w:hAnsi="Arial" w:cs="Arial"/>
          <w:sz w:val="24"/>
          <w:szCs w:val="24"/>
        </w:rPr>
        <w:t xml:space="preserve"> make the service of medical-legal reports more convenient for all parties involved and to speed up the delivery of medical-legal reports to the interested parties.</w:t>
      </w:r>
      <w:r w:rsidR="00C61827">
        <w:rPr>
          <w:rFonts w:ascii="Arial" w:hAnsi="Arial" w:cs="Arial"/>
          <w:sz w:val="24"/>
          <w:szCs w:val="24"/>
        </w:rPr>
        <w:t xml:space="preserve">  There is a cost savings to the QME/Physician in not having to print and mail medical-legal reports.  Electronic service provides for a more efficient transfer of documents and resulting work flow process improvements including reduced delays related to mailing paper documents and allows for more timely payment of workers’ compensation benefits, and better accountability for service of documents and receipt of documents. </w:t>
      </w:r>
    </w:p>
    <w:p w:rsidR="00C61827" w:rsidRDefault="00C61827" w:rsidP="00B041A9">
      <w:pPr>
        <w:rPr>
          <w:rFonts w:ascii="Arial" w:hAnsi="Arial" w:cs="Arial"/>
          <w:sz w:val="24"/>
          <w:szCs w:val="24"/>
          <w:lang w:val="en"/>
        </w:rPr>
      </w:pPr>
    </w:p>
    <w:p w:rsidR="00E83849" w:rsidRDefault="00C61827" w:rsidP="00B041A9">
      <w:pPr>
        <w:rPr>
          <w:rFonts w:ascii="Arial" w:hAnsi="Arial" w:cs="Arial"/>
          <w:sz w:val="24"/>
          <w:szCs w:val="24"/>
          <w:lang w:val="en"/>
        </w:rPr>
      </w:pPr>
      <w:r>
        <w:rPr>
          <w:rFonts w:ascii="Arial" w:hAnsi="Arial" w:cs="Arial"/>
          <w:sz w:val="24"/>
          <w:szCs w:val="24"/>
          <w:lang w:val="en"/>
        </w:rPr>
        <w:t xml:space="preserve">Section (a) provides that a QME or AME may serve the medical-legal report and required documents electronically if certain conditions are met.  </w:t>
      </w:r>
      <w:r w:rsidR="006C1C13">
        <w:rPr>
          <w:rFonts w:ascii="Arial" w:hAnsi="Arial" w:cs="Arial"/>
          <w:sz w:val="24"/>
          <w:szCs w:val="24"/>
          <w:lang w:val="en"/>
        </w:rPr>
        <w:t xml:space="preserve">This section is needed to provide an alternative to the requirements of regulation 36. </w:t>
      </w:r>
    </w:p>
    <w:p w:rsidR="00E83849" w:rsidRDefault="00E83849" w:rsidP="00B041A9">
      <w:pPr>
        <w:rPr>
          <w:rFonts w:ascii="Arial" w:hAnsi="Arial" w:cs="Arial"/>
          <w:sz w:val="24"/>
          <w:szCs w:val="24"/>
          <w:lang w:val="en"/>
        </w:rPr>
      </w:pPr>
    </w:p>
    <w:p w:rsidR="00E83849" w:rsidRDefault="00E83849" w:rsidP="00B041A9">
      <w:pPr>
        <w:rPr>
          <w:rFonts w:ascii="Arial" w:hAnsi="Arial" w:cs="Arial"/>
          <w:sz w:val="24"/>
          <w:szCs w:val="24"/>
          <w:lang w:val="en"/>
        </w:rPr>
      </w:pPr>
      <w:r>
        <w:rPr>
          <w:rFonts w:ascii="Arial" w:hAnsi="Arial" w:cs="Arial"/>
          <w:sz w:val="24"/>
          <w:szCs w:val="24"/>
          <w:lang w:val="en"/>
        </w:rPr>
        <w:t>Section (a)(1) defines the terms of Electronic Service, electronic transmission and electronic notification.  This section is necessary to provide guidance on proper transmission of documents and receipt of documents. This section is necessary to be consistent with California Code of Civil Procedure section 1010.6.</w:t>
      </w:r>
    </w:p>
    <w:p w:rsidR="00E83849" w:rsidRDefault="00E83849" w:rsidP="00B041A9">
      <w:pPr>
        <w:rPr>
          <w:rFonts w:ascii="Arial" w:hAnsi="Arial" w:cs="Arial"/>
          <w:sz w:val="24"/>
          <w:szCs w:val="24"/>
          <w:lang w:val="en"/>
        </w:rPr>
      </w:pPr>
    </w:p>
    <w:p w:rsidR="00E83849" w:rsidRDefault="00E83849" w:rsidP="00B041A9">
      <w:pPr>
        <w:rPr>
          <w:rFonts w:ascii="Arial" w:hAnsi="Arial" w:cs="Arial"/>
          <w:sz w:val="24"/>
          <w:szCs w:val="24"/>
          <w:lang w:val="en"/>
        </w:rPr>
      </w:pPr>
      <w:r>
        <w:rPr>
          <w:rFonts w:ascii="Arial" w:hAnsi="Arial" w:cs="Arial"/>
          <w:sz w:val="24"/>
          <w:szCs w:val="24"/>
          <w:lang w:val="en"/>
        </w:rPr>
        <w:t>Section (a)(2) provides that parties must agree to the electronic service</w:t>
      </w:r>
      <w:r w:rsidR="006C1C13">
        <w:rPr>
          <w:rFonts w:ascii="Arial" w:hAnsi="Arial" w:cs="Arial"/>
          <w:sz w:val="24"/>
          <w:szCs w:val="24"/>
          <w:lang w:val="en"/>
        </w:rPr>
        <w:t xml:space="preserve"> in writing and provide</w:t>
      </w:r>
      <w:r>
        <w:rPr>
          <w:rFonts w:ascii="Arial" w:hAnsi="Arial" w:cs="Arial"/>
          <w:sz w:val="24"/>
          <w:szCs w:val="24"/>
          <w:lang w:val="en"/>
        </w:rPr>
        <w:t xml:space="preserve"> an electronic address.  This section is needed to insure that a party can properly receive documents electronically and has agreed to this method of service. </w:t>
      </w:r>
    </w:p>
    <w:p w:rsidR="00E83849" w:rsidRDefault="00E83849" w:rsidP="00B041A9">
      <w:pPr>
        <w:rPr>
          <w:rFonts w:ascii="Arial" w:hAnsi="Arial" w:cs="Arial"/>
          <w:sz w:val="24"/>
          <w:szCs w:val="24"/>
          <w:lang w:val="en"/>
        </w:rPr>
      </w:pPr>
    </w:p>
    <w:p w:rsidR="00E83849" w:rsidRDefault="00E83849" w:rsidP="00B041A9">
      <w:pPr>
        <w:rPr>
          <w:rFonts w:ascii="Arial" w:hAnsi="Arial" w:cs="Arial"/>
          <w:sz w:val="24"/>
          <w:szCs w:val="24"/>
          <w:lang w:val="en"/>
        </w:rPr>
      </w:pPr>
      <w:r>
        <w:rPr>
          <w:rFonts w:ascii="Arial" w:hAnsi="Arial" w:cs="Arial"/>
          <w:sz w:val="24"/>
          <w:szCs w:val="24"/>
          <w:lang w:val="en"/>
        </w:rPr>
        <w:t xml:space="preserve">Section(a)(3) </w:t>
      </w:r>
      <w:r w:rsidR="0002351F">
        <w:rPr>
          <w:rFonts w:ascii="Arial" w:hAnsi="Arial" w:cs="Arial"/>
          <w:sz w:val="24"/>
          <w:szCs w:val="24"/>
          <w:lang w:val="en"/>
        </w:rPr>
        <w:t xml:space="preserve">provides that for electronic service of the medical-legal report and other paper must be transmitted to the electronic address maintained by the person or entity to whom it is being served and using the most recent address provided.  This section is necessary to identify the proper electronic address of the person or entity being served. </w:t>
      </w:r>
    </w:p>
    <w:p w:rsidR="0002351F" w:rsidRDefault="0002351F" w:rsidP="00B041A9">
      <w:pPr>
        <w:rPr>
          <w:rFonts w:ascii="Arial" w:hAnsi="Arial" w:cs="Arial"/>
          <w:sz w:val="24"/>
          <w:szCs w:val="24"/>
          <w:lang w:val="en"/>
        </w:rPr>
      </w:pPr>
    </w:p>
    <w:p w:rsidR="0002351F" w:rsidRDefault="0002351F" w:rsidP="00B041A9">
      <w:pPr>
        <w:rPr>
          <w:rFonts w:ascii="Arial" w:hAnsi="Arial" w:cs="Arial"/>
          <w:sz w:val="24"/>
          <w:szCs w:val="24"/>
          <w:lang w:val="en"/>
        </w:rPr>
      </w:pPr>
      <w:r>
        <w:rPr>
          <w:rFonts w:ascii="Arial" w:hAnsi="Arial" w:cs="Arial"/>
          <w:sz w:val="24"/>
          <w:szCs w:val="24"/>
          <w:lang w:val="en"/>
        </w:rPr>
        <w:t>Section(a)(4) pro</w:t>
      </w:r>
      <w:r w:rsidR="00041317">
        <w:rPr>
          <w:rFonts w:ascii="Arial" w:hAnsi="Arial" w:cs="Arial"/>
          <w:sz w:val="24"/>
          <w:szCs w:val="24"/>
          <w:lang w:val="en"/>
        </w:rPr>
        <w:t>vides for the time of when service</w:t>
      </w:r>
      <w:r>
        <w:rPr>
          <w:rFonts w:ascii="Arial" w:hAnsi="Arial" w:cs="Arial"/>
          <w:sz w:val="24"/>
          <w:szCs w:val="24"/>
          <w:lang w:val="en"/>
        </w:rPr>
        <w:t xml:space="preserve"> of the document is complete and the timeframe for an extension of two business days for any duty to act. This section</w:t>
      </w:r>
      <w:r w:rsidR="006C1C13">
        <w:rPr>
          <w:rFonts w:ascii="Arial" w:hAnsi="Arial" w:cs="Arial"/>
          <w:sz w:val="24"/>
          <w:szCs w:val="24"/>
          <w:lang w:val="en"/>
        </w:rPr>
        <w:t xml:space="preserve"> is needed to provide clarity</w:t>
      </w:r>
      <w:r>
        <w:rPr>
          <w:rFonts w:ascii="Arial" w:hAnsi="Arial" w:cs="Arial"/>
          <w:sz w:val="24"/>
          <w:szCs w:val="24"/>
          <w:lang w:val="en"/>
        </w:rPr>
        <w:t xml:space="preserve"> on the timeframe of receipt of documents. </w:t>
      </w:r>
    </w:p>
    <w:p w:rsidR="0002351F" w:rsidRDefault="0002351F" w:rsidP="00B041A9">
      <w:pPr>
        <w:rPr>
          <w:rFonts w:ascii="Arial" w:hAnsi="Arial" w:cs="Arial"/>
          <w:sz w:val="24"/>
          <w:szCs w:val="24"/>
          <w:lang w:val="en"/>
        </w:rPr>
      </w:pPr>
    </w:p>
    <w:p w:rsidR="0002351F" w:rsidRDefault="0002351F" w:rsidP="00B041A9">
      <w:pPr>
        <w:rPr>
          <w:rFonts w:ascii="Arial" w:hAnsi="Arial" w:cs="Arial"/>
          <w:sz w:val="24"/>
          <w:szCs w:val="24"/>
          <w:lang w:val="en"/>
        </w:rPr>
      </w:pPr>
      <w:r>
        <w:rPr>
          <w:rFonts w:ascii="Arial" w:hAnsi="Arial" w:cs="Arial"/>
          <w:sz w:val="24"/>
          <w:szCs w:val="24"/>
          <w:lang w:val="en"/>
        </w:rPr>
        <w:t>Section(</w:t>
      </w:r>
      <w:r w:rsidR="00C51E13">
        <w:rPr>
          <w:rFonts w:ascii="Arial" w:hAnsi="Arial" w:cs="Arial"/>
          <w:sz w:val="24"/>
          <w:szCs w:val="24"/>
          <w:lang w:val="en"/>
        </w:rPr>
        <w:t>b)</w:t>
      </w:r>
      <w:r>
        <w:rPr>
          <w:rFonts w:ascii="Arial" w:hAnsi="Arial" w:cs="Arial"/>
          <w:sz w:val="24"/>
          <w:szCs w:val="24"/>
          <w:lang w:val="en"/>
        </w:rPr>
        <w:t xml:space="preserve"> </w:t>
      </w:r>
      <w:r w:rsidR="00C51E13">
        <w:rPr>
          <w:rFonts w:ascii="Arial" w:hAnsi="Arial" w:cs="Arial"/>
          <w:sz w:val="24"/>
          <w:szCs w:val="24"/>
          <w:lang w:val="en"/>
        </w:rPr>
        <w:t>provides that with regards to claims of injury to the psyche the terms of section 36.5 still apply however the requirements of section 36.5(b)(6) may be accomplished by electronic service.  This section is necessary to insure proper service of a psyche medical-legal report in accordance with the protections of section 36.5.</w:t>
      </w:r>
    </w:p>
    <w:p w:rsidR="00C51E13" w:rsidRDefault="00C51E13" w:rsidP="00B041A9">
      <w:pPr>
        <w:rPr>
          <w:rFonts w:ascii="Arial" w:hAnsi="Arial" w:cs="Arial"/>
          <w:sz w:val="24"/>
          <w:szCs w:val="24"/>
          <w:lang w:val="en"/>
        </w:rPr>
      </w:pPr>
    </w:p>
    <w:p w:rsidR="00C51E13" w:rsidRDefault="00C51E13" w:rsidP="00B041A9">
      <w:pPr>
        <w:rPr>
          <w:rFonts w:ascii="Arial" w:hAnsi="Arial" w:cs="Arial"/>
          <w:sz w:val="24"/>
          <w:szCs w:val="24"/>
          <w:lang w:val="en"/>
        </w:rPr>
      </w:pPr>
      <w:r>
        <w:rPr>
          <w:rFonts w:ascii="Arial" w:hAnsi="Arial" w:cs="Arial"/>
          <w:sz w:val="24"/>
          <w:szCs w:val="24"/>
          <w:lang w:val="en"/>
        </w:rPr>
        <w:t xml:space="preserve">Section(c) clarifies that the terms of regulation 36 apply to electronic service. </w:t>
      </w:r>
    </w:p>
    <w:p w:rsidR="00C51E13" w:rsidRDefault="00C51E13" w:rsidP="00B041A9">
      <w:pPr>
        <w:rPr>
          <w:rFonts w:ascii="Arial" w:hAnsi="Arial" w:cs="Arial"/>
          <w:sz w:val="24"/>
          <w:szCs w:val="24"/>
          <w:lang w:val="en"/>
        </w:rPr>
      </w:pPr>
    </w:p>
    <w:p w:rsidR="00C51E13" w:rsidRDefault="00C51E13" w:rsidP="00B041A9">
      <w:pPr>
        <w:rPr>
          <w:rFonts w:ascii="Arial" w:hAnsi="Arial" w:cs="Arial"/>
          <w:sz w:val="24"/>
          <w:szCs w:val="24"/>
          <w:lang w:val="en"/>
        </w:rPr>
      </w:pPr>
      <w:r>
        <w:rPr>
          <w:rFonts w:ascii="Arial" w:hAnsi="Arial" w:cs="Arial"/>
          <w:sz w:val="24"/>
          <w:szCs w:val="24"/>
          <w:lang w:val="en"/>
        </w:rPr>
        <w:t xml:space="preserve">Section(d) provides that the mandatory form 122 may be replaced by an Affidavit of Proof of Electronic Service.  The section provides for the information that must be included in the Affidavit of Proof of Electronic Service. </w:t>
      </w:r>
      <w:r w:rsidR="00245C61">
        <w:rPr>
          <w:rFonts w:ascii="Arial" w:hAnsi="Arial" w:cs="Arial"/>
          <w:sz w:val="24"/>
          <w:szCs w:val="24"/>
          <w:lang w:val="en"/>
        </w:rPr>
        <w:t>Th</w:t>
      </w:r>
      <w:r w:rsidR="006C1C13">
        <w:rPr>
          <w:rFonts w:ascii="Arial" w:hAnsi="Arial" w:cs="Arial"/>
          <w:sz w:val="24"/>
          <w:szCs w:val="24"/>
          <w:lang w:val="en"/>
        </w:rPr>
        <w:t>is section is necessary</w:t>
      </w:r>
      <w:r w:rsidR="00245C61">
        <w:rPr>
          <w:rFonts w:ascii="Arial" w:hAnsi="Arial" w:cs="Arial"/>
          <w:sz w:val="24"/>
          <w:szCs w:val="24"/>
          <w:lang w:val="en"/>
        </w:rPr>
        <w:t xml:space="preserve"> to provide a mechanism for service of the necessary elements of form 122 without the need to use the form which may not be readily usable in electronic format. </w:t>
      </w:r>
    </w:p>
    <w:p w:rsidR="00245C61" w:rsidRDefault="00245C61" w:rsidP="00B041A9">
      <w:pPr>
        <w:rPr>
          <w:rFonts w:ascii="Arial" w:hAnsi="Arial" w:cs="Arial"/>
          <w:sz w:val="24"/>
          <w:szCs w:val="24"/>
          <w:lang w:val="en"/>
        </w:rPr>
      </w:pPr>
    </w:p>
    <w:p w:rsidR="00245C61" w:rsidRDefault="00245C61" w:rsidP="00B041A9">
      <w:pPr>
        <w:rPr>
          <w:rFonts w:ascii="Arial" w:hAnsi="Arial" w:cs="Arial"/>
          <w:sz w:val="24"/>
          <w:szCs w:val="24"/>
          <w:lang w:val="en"/>
        </w:rPr>
      </w:pPr>
      <w:r>
        <w:rPr>
          <w:rFonts w:ascii="Arial" w:hAnsi="Arial" w:cs="Arial"/>
          <w:sz w:val="24"/>
          <w:szCs w:val="24"/>
          <w:lang w:val="en"/>
        </w:rPr>
        <w:t>Section(e) provides that the physician s</w:t>
      </w:r>
      <w:r w:rsidR="006C1C13">
        <w:rPr>
          <w:rFonts w:ascii="Arial" w:hAnsi="Arial" w:cs="Arial"/>
          <w:sz w:val="24"/>
          <w:szCs w:val="24"/>
          <w:lang w:val="en"/>
        </w:rPr>
        <w:t xml:space="preserve">hall maintain an original copy </w:t>
      </w:r>
      <w:r>
        <w:rPr>
          <w:rFonts w:ascii="Arial" w:hAnsi="Arial" w:cs="Arial"/>
          <w:sz w:val="24"/>
          <w:szCs w:val="24"/>
          <w:lang w:val="en"/>
        </w:rPr>
        <w:t xml:space="preserve">of the documents with original signature.  This section is necessary to insure a consistent record of the medical-legal report if there is a dispute regarding authenticity of an electronically served report and documents. </w:t>
      </w:r>
    </w:p>
    <w:p w:rsidR="00E83849" w:rsidRDefault="00E83849" w:rsidP="00B041A9">
      <w:pPr>
        <w:rPr>
          <w:rFonts w:ascii="Arial" w:hAnsi="Arial" w:cs="Arial"/>
          <w:sz w:val="24"/>
          <w:szCs w:val="24"/>
          <w:lang w:val="en"/>
        </w:rPr>
      </w:pPr>
    </w:p>
    <w:p w:rsidR="00E86C86" w:rsidRPr="002D3D97" w:rsidRDefault="00E86C86" w:rsidP="00B041A9">
      <w:pPr>
        <w:rPr>
          <w:rFonts w:ascii="Arial" w:hAnsi="Arial" w:cs="Arial"/>
          <w:sz w:val="24"/>
          <w:szCs w:val="24"/>
        </w:rPr>
      </w:pPr>
    </w:p>
    <w:p w:rsidR="00135C57" w:rsidRPr="00126426" w:rsidRDefault="00135C57" w:rsidP="00135C57">
      <w:pPr>
        <w:widowControl/>
        <w:rPr>
          <w:rFonts w:ascii="Arial" w:hAnsi="Arial" w:cs="Arial"/>
          <w:b/>
          <w:color w:val="000000"/>
          <w:sz w:val="24"/>
          <w:szCs w:val="24"/>
        </w:rPr>
      </w:pPr>
      <w:r w:rsidRPr="00126426">
        <w:rPr>
          <w:rFonts w:ascii="Arial" w:hAnsi="Arial" w:cs="Arial"/>
          <w:b/>
          <w:color w:val="000000"/>
          <w:sz w:val="24"/>
          <w:szCs w:val="24"/>
          <w:u w:val="single"/>
        </w:rPr>
        <w:t>Consideration of Alternatives</w:t>
      </w:r>
      <w:r w:rsidRPr="00126426">
        <w:rPr>
          <w:rFonts w:ascii="Arial" w:hAnsi="Arial" w:cs="Arial"/>
          <w:b/>
          <w:color w:val="000000"/>
          <w:sz w:val="24"/>
          <w:szCs w:val="24"/>
        </w:rPr>
        <w:t xml:space="preserve">:  </w:t>
      </w:r>
    </w:p>
    <w:p w:rsidR="00135C57" w:rsidRPr="002D3D97" w:rsidRDefault="00135C57" w:rsidP="00135C57">
      <w:pPr>
        <w:widowControl/>
        <w:rPr>
          <w:rFonts w:ascii="Arial" w:hAnsi="Arial" w:cs="Arial"/>
          <w:b/>
          <w:color w:val="000000"/>
          <w:sz w:val="24"/>
          <w:szCs w:val="24"/>
        </w:rPr>
      </w:pPr>
    </w:p>
    <w:p w:rsidR="00F81104" w:rsidRDefault="002D3D97" w:rsidP="00135C57">
      <w:pPr>
        <w:widowControl/>
        <w:rPr>
          <w:rFonts w:ascii="Arial" w:hAnsi="Arial" w:cs="Arial"/>
          <w:color w:val="000000"/>
          <w:sz w:val="24"/>
          <w:szCs w:val="24"/>
        </w:rPr>
      </w:pPr>
      <w:r>
        <w:rPr>
          <w:rFonts w:ascii="Arial" w:hAnsi="Arial" w:cs="Arial"/>
          <w:color w:val="000000"/>
          <w:sz w:val="24"/>
          <w:szCs w:val="24"/>
        </w:rPr>
        <w:t xml:space="preserve">No alternatives have been proposed. </w:t>
      </w:r>
      <w:r w:rsidR="00245C61">
        <w:rPr>
          <w:rFonts w:ascii="Arial" w:hAnsi="Arial" w:cs="Arial"/>
          <w:color w:val="000000"/>
          <w:sz w:val="24"/>
          <w:szCs w:val="24"/>
        </w:rPr>
        <w:t xml:space="preserve">The proposed adoption of regulation 36.7 provides improvement to the current system provided for under regulation 36. </w:t>
      </w:r>
      <w:r w:rsidR="00E81436">
        <w:rPr>
          <w:rFonts w:ascii="Arial" w:hAnsi="Arial" w:cs="Arial"/>
          <w:color w:val="000000"/>
          <w:sz w:val="24"/>
          <w:szCs w:val="24"/>
        </w:rPr>
        <w:t>Regulation 36.7 is consistent with California Code of Civil Procedure section 1010.6 and therefore, n</w:t>
      </w:r>
      <w:r w:rsidR="00135C57" w:rsidRPr="002D3D97">
        <w:rPr>
          <w:rFonts w:ascii="Arial" w:hAnsi="Arial" w:cs="Arial"/>
          <w:color w:val="000000"/>
          <w:sz w:val="24"/>
          <w:szCs w:val="24"/>
        </w:rPr>
        <w:t>o more effective alternative to this section, nor equally effective and less burdensome alternative, has been identified by the Administrative Director.</w:t>
      </w:r>
      <w:r w:rsidR="007769C6">
        <w:rPr>
          <w:rFonts w:ascii="Arial" w:hAnsi="Arial" w:cs="Arial"/>
          <w:color w:val="000000"/>
          <w:sz w:val="24"/>
          <w:szCs w:val="24"/>
        </w:rPr>
        <w:t xml:space="preserve"> </w:t>
      </w:r>
    </w:p>
    <w:p w:rsidR="00F81104" w:rsidRDefault="00F81104" w:rsidP="00135C57">
      <w:pPr>
        <w:widowControl/>
        <w:rPr>
          <w:rFonts w:ascii="Arial" w:hAnsi="Arial" w:cs="Arial"/>
          <w:color w:val="000000"/>
          <w:sz w:val="24"/>
          <w:szCs w:val="24"/>
        </w:rPr>
      </w:pPr>
    </w:p>
    <w:p w:rsidR="00135C57" w:rsidRPr="002D3D97" w:rsidRDefault="00F81104" w:rsidP="00E81436">
      <w:pPr>
        <w:widowControl/>
        <w:rPr>
          <w:rFonts w:ascii="Arial" w:hAnsi="Arial" w:cs="Arial"/>
          <w:sz w:val="24"/>
          <w:szCs w:val="24"/>
        </w:rPr>
      </w:pPr>
      <w:r>
        <w:rPr>
          <w:rFonts w:ascii="Arial" w:hAnsi="Arial" w:cs="Arial"/>
          <w:color w:val="000000"/>
          <w:sz w:val="24"/>
          <w:szCs w:val="24"/>
        </w:rPr>
        <w:t xml:space="preserve">In accordance with Government Code section 11346.5(a)(13) no reasonable alternative would be more effective in carrying out the purpose for which the action is proposed, would be as effective and less burdensome on affected private persons than the proposed action, or would be more cost-effective and equally and effective in implementing the statutory policy or other provisions of the law. </w:t>
      </w:r>
    </w:p>
    <w:p w:rsidR="00B041A9" w:rsidRPr="002D3D97" w:rsidRDefault="00B041A9" w:rsidP="00AF5455">
      <w:pPr>
        <w:widowControl/>
        <w:rPr>
          <w:rFonts w:ascii="Arial" w:hAnsi="Arial" w:cs="Arial"/>
          <w:color w:val="000000"/>
          <w:sz w:val="24"/>
          <w:szCs w:val="24"/>
        </w:rPr>
      </w:pPr>
    </w:p>
    <w:p w:rsidR="001450FB" w:rsidRPr="002D3D97" w:rsidRDefault="001450FB" w:rsidP="007B2C36">
      <w:pPr>
        <w:widowControl/>
        <w:rPr>
          <w:rFonts w:ascii="Arial" w:hAnsi="Arial" w:cs="Arial"/>
          <w:color w:val="000000"/>
          <w:sz w:val="24"/>
          <w:szCs w:val="24"/>
        </w:rPr>
      </w:pPr>
    </w:p>
    <w:p w:rsidR="00211304" w:rsidRPr="002D3D97" w:rsidRDefault="00211304" w:rsidP="007B2C36">
      <w:pPr>
        <w:widowControl/>
        <w:rPr>
          <w:rFonts w:ascii="Arial" w:hAnsi="Arial" w:cs="Arial"/>
          <w:color w:val="000000"/>
          <w:sz w:val="24"/>
          <w:szCs w:val="24"/>
        </w:rPr>
      </w:pPr>
    </w:p>
    <w:p w:rsidR="00ED2A93" w:rsidRPr="002D3D97" w:rsidRDefault="00ED2A93" w:rsidP="00ED2A93">
      <w:pPr>
        <w:widowControl/>
        <w:rPr>
          <w:rFonts w:ascii="Arial" w:hAnsi="Arial" w:cs="Arial"/>
          <w:b/>
          <w:color w:val="000000"/>
          <w:sz w:val="24"/>
          <w:szCs w:val="24"/>
        </w:rPr>
      </w:pPr>
    </w:p>
    <w:p w:rsidR="002D3D97" w:rsidRPr="002D3D97" w:rsidRDefault="002D3D97">
      <w:pPr>
        <w:widowControl/>
        <w:rPr>
          <w:rFonts w:ascii="Arial" w:hAnsi="Arial" w:cs="Arial"/>
          <w:b/>
          <w:color w:val="000000"/>
          <w:sz w:val="24"/>
          <w:szCs w:val="24"/>
        </w:rPr>
      </w:pPr>
    </w:p>
    <w:sectPr w:rsidR="002D3D97" w:rsidRPr="002D3D97" w:rsidSect="00DC689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527" w:rsidRDefault="004D3527">
      <w:r>
        <w:separator/>
      </w:r>
    </w:p>
  </w:endnote>
  <w:endnote w:type="continuationSeparator" w:id="0">
    <w:p w:rsidR="004D3527" w:rsidRDefault="004D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D2" w:rsidRDefault="00EF2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BE" w:rsidRPr="00BE66BE" w:rsidRDefault="00EF26D2" w:rsidP="00BE66BE">
    <w:pPr>
      <w:pStyle w:val="Footer"/>
      <w:rPr>
        <w:rFonts w:ascii="Times New Roman" w:hAnsi="Times New Roman" w:cs="Times New Roman"/>
      </w:rPr>
    </w:pPr>
    <w:r>
      <w:rPr>
        <w:rFonts w:ascii="Times New Roman" w:hAnsi="Times New Roman" w:cs="Times New Roman"/>
      </w:rPr>
      <w:t xml:space="preserve">Addendum to </w:t>
    </w:r>
    <w:r w:rsidR="00BE66BE" w:rsidRPr="00BE66BE">
      <w:rPr>
        <w:rFonts w:ascii="Times New Roman" w:hAnsi="Times New Roman" w:cs="Times New Roman"/>
      </w:rPr>
      <w:t xml:space="preserve">Initial Statement of Reasons – </w:t>
    </w:r>
    <w:r w:rsidR="00BE66BE">
      <w:rPr>
        <w:rFonts w:ascii="Times New Roman" w:hAnsi="Times New Roman" w:cs="Times New Roman"/>
      </w:rPr>
      <w:t xml:space="preserve">QME </w:t>
    </w:r>
    <w:r w:rsidR="001A49A2">
      <w:rPr>
        <w:rFonts w:ascii="Times New Roman" w:hAnsi="Times New Roman" w:cs="Times New Roman"/>
      </w:rPr>
      <w:t>36.7 Regulation</w:t>
    </w:r>
    <w:r w:rsidR="00BE66BE">
      <w:rPr>
        <w:rFonts w:ascii="Times New Roman" w:hAnsi="Times New Roman" w:cs="Times New Roman"/>
      </w:rPr>
      <w:t xml:space="preserve">                                                 </w:t>
    </w:r>
    <w:r>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sidRPr="00BE66BE">
      <w:rPr>
        <w:rFonts w:ascii="Times New Roman" w:hAnsi="Times New Roman" w:cs="Times New Roman"/>
      </w:rPr>
      <w:fldChar w:fldCharType="begin"/>
    </w:r>
    <w:r w:rsidR="00BE66BE" w:rsidRPr="00BE66BE">
      <w:rPr>
        <w:rFonts w:ascii="Times New Roman" w:hAnsi="Times New Roman" w:cs="Times New Roman"/>
      </w:rPr>
      <w:instrText xml:space="preserve"> PAGE   \* MERGEFORMAT </w:instrText>
    </w:r>
    <w:r w:rsidR="00BE66BE" w:rsidRPr="00BE66BE">
      <w:rPr>
        <w:rFonts w:ascii="Times New Roman" w:hAnsi="Times New Roman" w:cs="Times New Roman"/>
      </w:rPr>
      <w:fldChar w:fldCharType="separate"/>
    </w:r>
    <w:r w:rsidR="00D939EA">
      <w:rPr>
        <w:rFonts w:ascii="Times New Roman" w:hAnsi="Times New Roman" w:cs="Times New Roman"/>
        <w:noProof/>
      </w:rPr>
      <w:t>2</w:t>
    </w:r>
    <w:r w:rsidR="00BE66BE" w:rsidRPr="00BE66BE">
      <w:rPr>
        <w:rFonts w:ascii="Times New Roman" w:hAnsi="Times New Roman" w:cs="Times New Roman"/>
        <w:noProof/>
      </w:rPr>
      <w:fldChar w:fldCharType="end"/>
    </w:r>
    <w:r w:rsidR="00BE66BE">
      <w:rPr>
        <w:rFonts w:ascii="Times New Roman" w:hAnsi="Times New Roman" w:cs="Times New Roman"/>
        <w:noProof/>
      </w:rPr>
      <w:t xml:space="preserve">  </w:t>
    </w:r>
    <w:r w:rsidR="00BE66BE" w:rsidRPr="00BE66BE">
      <w:rPr>
        <w:rFonts w:ascii="Times New Roman" w:hAnsi="Times New Roman" w:cs="Times New Roman"/>
      </w:rPr>
      <w:t xml:space="preserve"> </w:t>
    </w:r>
  </w:p>
  <w:p w:rsidR="00BE66BE" w:rsidRPr="00BE66BE" w:rsidRDefault="00F72819" w:rsidP="00BE66BE">
    <w:pPr>
      <w:pStyle w:val="Footer"/>
      <w:rPr>
        <w:rFonts w:ascii="Times New Roman" w:hAnsi="Times New Roman" w:cs="Times New Roman"/>
      </w:rPr>
    </w:pPr>
    <w:r>
      <w:rPr>
        <w:rFonts w:ascii="Times New Roman" w:hAnsi="Times New Roman" w:cs="Times New Roman"/>
      </w:rPr>
      <w:t xml:space="preserve">February </w:t>
    </w:r>
    <w:r w:rsidR="00EF26D2">
      <w:rPr>
        <w:rFonts w:ascii="Times New Roman" w:hAnsi="Times New Roman" w:cs="Times New Roman"/>
      </w:rPr>
      <w:t xml:space="preserve">28, </w:t>
    </w:r>
    <w:r>
      <w:rPr>
        <w:rFonts w:ascii="Times New Roman" w:hAnsi="Times New Roman" w:cs="Times New Roman"/>
      </w:rPr>
      <w:t>2022</w:t>
    </w:r>
  </w:p>
  <w:p w:rsidR="00BE66BE" w:rsidRDefault="00BE66BE" w:rsidP="00BE66BE">
    <w:pPr>
      <w:pStyle w:val="Footer"/>
    </w:pPr>
  </w:p>
  <w:p w:rsidR="00BE66BE" w:rsidRDefault="00BE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D2" w:rsidRDefault="00EF2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527" w:rsidRDefault="004D3527">
      <w:r>
        <w:separator/>
      </w:r>
    </w:p>
  </w:footnote>
  <w:footnote w:type="continuationSeparator" w:id="0">
    <w:p w:rsidR="004D3527" w:rsidRDefault="004D3527">
      <w:r>
        <w:continuationSeparator/>
      </w:r>
    </w:p>
  </w:footnote>
  <w:footnote w:id="1">
    <w:p w:rsidR="00F6481A" w:rsidRPr="00D7239C" w:rsidRDefault="00F6481A" w:rsidP="00F6481A">
      <w:pPr>
        <w:pStyle w:val="FootnoteText"/>
        <w:rPr>
          <w:sz w:val="22"/>
          <w:szCs w:val="22"/>
        </w:rPr>
      </w:pPr>
      <w:r w:rsidRPr="00D7239C">
        <w:rPr>
          <w:rStyle w:val="FootnoteReference"/>
          <w:sz w:val="22"/>
          <w:szCs w:val="22"/>
        </w:rPr>
        <w:footnoteRef/>
      </w:r>
      <w:r w:rsidRPr="00D7239C">
        <w:rPr>
          <w:sz w:val="22"/>
          <w:szCs w:val="22"/>
        </w:rPr>
        <w:t xml:space="preserve"> Billable Codes are the various types of reports that a QME issues given the type of service provided; for example a first evaluation versus a second evaluation versus a supplemental report (no evaluation).</w:t>
      </w:r>
    </w:p>
  </w:footnote>
  <w:footnote w:id="2">
    <w:p w:rsidR="00F6481A" w:rsidRPr="00D7239C" w:rsidRDefault="00F6481A" w:rsidP="00F6481A">
      <w:pPr>
        <w:pStyle w:val="FootnoteText"/>
        <w:rPr>
          <w:sz w:val="22"/>
          <w:szCs w:val="22"/>
        </w:rPr>
      </w:pPr>
      <w:r w:rsidRPr="00D7239C">
        <w:rPr>
          <w:rStyle w:val="FootnoteReference"/>
          <w:sz w:val="22"/>
          <w:szCs w:val="22"/>
        </w:rPr>
        <w:footnoteRef/>
      </w:r>
      <w:r w:rsidRPr="00D7239C">
        <w:rPr>
          <w:sz w:val="22"/>
          <w:szCs w:val="22"/>
        </w:rPr>
        <w:t xml:space="preserve"> Number of reports is based on Workers Compensation Information System (WCIS) numbers for 2019.</w:t>
      </w:r>
    </w:p>
  </w:footnote>
  <w:footnote w:id="3">
    <w:p w:rsidR="00F6481A" w:rsidRPr="00D7239C" w:rsidRDefault="00F6481A" w:rsidP="00F6481A">
      <w:pPr>
        <w:pStyle w:val="FootnoteText"/>
        <w:rPr>
          <w:sz w:val="22"/>
          <w:szCs w:val="22"/>
        </w:rPr>
      </w:pPr>
      <w:r w:rsidRPr="00D7239C">
        <w:rPr>
          <w:rStyle w:val="FootnoteReference"/>
          <w:sz w:val="22"/>
          <w:szCs w:val="22"/>
        </w:rPr>
        <w:footnoteRef/>
      </w:r>
      <w:r w:rsidRPr="00D7239C">
        <w:rPr>
          <w:sz w:val="22"/>
          <w:szCs w:val="22"/>
        </w:rPr>
        <w:t xml:space="preserve"> Pages per report is estimated based on the DWC’s experience with medical-legal reports.</w:t>
      </w:r>
    </w:p>
  </w:footnote>
  <w:footnote w:id="4">
    <w:p w:rsidR="00F6481A" w:rsidRPr="00D7239C" w:rsidRDefault="00F6481A" w:rsidP="00F6481A">
      <w:pPr>
        <w:pStyle w:val="FootnoteText"/>
        <w:rPr>
          <w:sz w:val="22"/>
          <w:szCs w:val="22"/>
        </w:rPr>
      </w:pPr>
      <w:r w:rsidRPr="00D7239C">
        <w:rPr>
          <w:rStyle w:val="FootnoteReference"/>
          <w:sz w:val="22"/>
          <w:szCs w:val="22"/>
        </w:rPr>
        <w:footnoteRef/>
      </w:r>
      <w:r w:rsidRPr="00D7239C">
        <w:rPr>
          <w:sz w:val="22"/>
          <w:szCs w:val="22"/>
        </w:rPr>
        <w:t xml:space="preserve"> Cost per page is based on what the DWC found the average printer and paper costs to be.</w:t>
      </w:r>
    </w:p>
  </w:footnote>
  <w:footnote w:id="5">
    <w:p w:rsidR="00F6481A" w:rsidRDefault="00F6481A" w:rsidP="00F6481A">
      <w:pPr>
        <w:pStyle w:val="FootnoteText"/>
      </w:pPr>
      <w:r w:rsidRPr="00D7239C">
        <w:rPr>
          <w:rStyle w:val="FootnoteReference"/>
          <w:sz w:val="22"/>
          <w:szCs w:val="22"/>
        </w:rPr>
        <w:footnoteRef/>
      </w:r>
      <w:r w:rsidRPr="00D7239C">
        <w:rPr>
          <w:sz w:val="22"/>
          <w:szCs w:val="22"/>
        </w:rPr>
        <w:t xml:space="preserve"> Postage per report is based on information received from a medical management company (Exam Works) providing that the average cost of postage for services of a medical-legal report is $2.50 per report.  The QME is required to serve at least two parties. ($2.50 x 2 = $5.00)</w:t>
      </w:r>
    </w:p>
  </w:footnote>
  <w:footnote w:id="6">
    <w:p w:rsidR="006B5018" w:rsidRDefault="006B5018" w:rsidP="006B5018">
      <w:pPr>
        <w:pStyle w:val="FootnoteText"/>
      </w:pPr>
      <w:r>
        <w:rPr>
          <w:rStyle w:val="FootnoteReference"/>
        </w:rPr>
        <w:footnoteRef/>
      </w:r>
      <w:r>
        <w:t xml:space="preserve"> </w:t>
      </w:r>
      <w:r w:rsidRPr="001A316D">
        <w:rPr>
          <w:sz w:val="22"/>
          <w:szCs w:val="22"/>
        </w:rPr>
        <w:t>As this is an opt-in regulation, it is estimated that 75% of the cases will utilize this electronic service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D2" w:rsidRDefault="00EF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D2" w:rsidRDefault="00EF2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D2" w:rsidRDefault="00EF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D"/>
    <w:rsid w:val="0002351F"/>
    <w:rsid w:val="00023CA8"/>
    <w:rsid w:val="00026903"/>
    <w:rsid w:val="000306A3"/>
    <w:rsid w:val="00041317"/>
    <w:rsid w:val="000C22F7"/>
    <w:rsid w:val="000C6094"/>
    <w:rsid w:val="00126426"/>
    <w:rsid w:val="00131CF6"/>
    <w:rsid w:val="001332EC"/>
    <w:rsid w:val="00135C57"/>
    <w:rsid w:val="001450FB"/>
    <w:rsid w:val="00174C97"/>
    <w:rsid w:val="001A49A2"/>
    <w:rsid w:val="001B49DC"/>
    <w:rsid w:val="001B762A"/>
    <w:rsid w:val="001C1594"/>
    <w:rsid w:val="001E06BD"/>
    <w:rsid w:val="002048B3"/>
    <w:rsid w:val="00211304"/>
    <w:rsid w:val="00245C61"/>
    <w:rsid w:val="0024752E"/>
    <w:rsid w:val="002A205F"/>
    <w:rsid w:val="002A3E4E"/>
    <w:rsid w:val="002D1E8B"/>
    <w:rsid w:val="002D3D97"/>
    <w:rsid w:val="002D5509"/>
    <w:rsid w:val="002E31CE"/>
    <w:rsid w:val="00361449"/>
    <w:rsid w:val="00370A47"/>
    <w:rsid w:val="00372152"/>
    <w:rsid w:val="00376FEB"/>
    <w:rsid w:val="003B6F3A"/>
    <w:rsid w:val="003C367C"/>
    <w:rsid w:val="003C6CA2"/>
    <w:rsid w:val="003D16B4"/>
    <w:rsid w:val="0041219E"/>
    <w:rsid w:val="0041466C"/>
    <w:rsid w:val="00427A0B"/>
    <w:rsid w:val="00432E6B"/>
    <w:rsid w:val="00447202"/>
    <w:rsid w:val="00462111"/>
    <w:rsid w:val="00465B9E"/>
    <w:rsid w:val="00475292"/>
    <w:rsid w:val="00492A5C"/>
    <w:rsid w:val="0049786D"/>
    <w:rsid w:val="004B73A9"/>
    <w:rsid w:val="004C0EF7"/>
    <w:rsid w:val="004C1E58"/>
    <w:rsid w:val="004C389B"/>
    <w:rsid w:val="004D3527"/>
    <w:rsid w:val="004E2F0D"/>
    <w:rsid w:val="00542F2A"/>
    <w:rsid w:val="00546056"/>
    <w:rsid w:val="00585D32"/>
    <w:rsid w:val="005A2F37"/>
    <w:rsid w:val="005B55AA"/>
    <w:rsid w:val="005C134D"/>
    <w:rsid w:val="005F02AF"/>
    <w:rsid w:val="005F5048"/>
    <w:rsid w:val="00606FAC"/>
    <w:rsid w:val="00610FFF"/>
    <w:rsid w:val="006215D9"/>
    <w:rsid w:val="0063780F"/>
    <w:rsid w:val="00641205"/>
    <w:rsid w:val="00647952"/>
    <w:rsid w:val="006832A3"/>
    <w:rsid w:val="00690A49"/>
    <w:rsid w:val="00693999"/>
    <w:rsid w:val="006B5018"/>
    <w:rsid w:val="006C1C13"/>
    <w:rsid w:val="006C620F"/>
    <w:rsid w:val="006F628C"/>
    <w:rsid w:val="007113FD"/>
    <w:rsid w:val="00726F9E"/>
    <w:rsid w:val="00744045"/>
    <w:rsid w:val="00755BF7"/>
    <w:rsid w:val="007769C6"/>
    <w:rsid w:val="00784F73"/>
    <w:rsid w:val="007B2C36"/>
    <w:rsid w:val="007F392D"/>
    <w:rsid w:val="00826AA7"/>
    <w:rsid w:val="00880AC1"/>
    <w:rsid w:val="008B2863"/>
    <w:rsid w:val="008B4643"/>
    <w:rsid w:val="008C3031"/>
    <w:rsid w:val="008E740F"/>
    <w:rsid w:val="009012C4"/>
    <w:rsid w:val="0093469A"/>
    <w:rsid w:val="00944384"/>
    <w:rsid w:val="00944F1D"/>
    <w:rsid w:val="00961B58"/>
    <w:rsid w:val="00975E1E"/>
    <w:rsid w:val="00981190"/>
    <w:rsid w:val="00985E0A"/>
    <w:rsid w:val="00986E23"/>
    <w:rsid w:val="009E7430"/>
    <w:rsid w:val="009F1A02"/>
    <w:rsid w:val="00A06F7C"/>
    <w:rsid w:val="00A55723"/>
    <w:rsid w:val="00A807ED"/>
    <w:rsid w:val="00AE4C5F"/>
    <w:rsid w:val="00AF5455"/>
    <w:rsid w:val="00B041A9"/>
    <w:rsid w:val="00B14620"/>
    <w:rsid w:val="00B52E38"/>
    <w:rsid w:val="00BC0669"/>
    <w:rsid w:val="00BC1910"/>
    <w:rsid w:val="00BE66BE"/>
    <w:rsid w:val="00BF2AFE"/>
    <w:rsid w:val="00C05CCC"/>
    <w:rsid w:val="00C51E13"/>
    <w:rsid w:val="00C53F8C"/>
    <w:rsid w:val="00C61827"/>
    <w:rsid w:val="00C66DC1"/>
    <w:rsid w:val="00C73309"/>
    <w:rsid w:val="00C77454"/>
    <w:rsid w:val="00C859F1"/>
    <w:rsid w:val="00C927F9"/>
    <w:rsid w:val="00CA4CCE"/>
    <w:rsid w:val="00CA7E0B"/>
    <w:rsid w:val="00CB1069"/>
    <w:rsid w:val="00CD1865"/>
    <w:rsid w:val="00D11D61"/>
    <w:rsid w:val="00D15F66"/>
    <w:rsid w:val="00D22290"/>
    <w:rsid w:val="00D25EAC"/>
    <w:rsid w:val="00D33FF3"/>
    <w:rsid w:val="00D57699"/>
    <w:rsid w:val="00D75384"/>
    <w:rsid w:val="00D939EA"/>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81436"/>
    <w:rsid w:val="00E83849"/>
    <w:rsid w:val="00E86C86"/>
    <w:rsid w:val="00E97F1B"/>
    <w:rsid w:val="00EA367F"/>
    <w:rsid w:val="00ED2A93"/>
    <w:rsid w:val="00ED703B"/>
    <w:rsid w:val="00EE33EF"/>
    <w:rsid w:val="00EF1097"/>
    <w:rsid w:val="00EF26D2"/>
    <w:rsid w:val="00F049BA"/>
    <w:rsid w:val="00F11580"/>
    <w:rsid w:val="00F17D43"/>
    <w:rsid w:val="00F4694E"/>
    <w:rsid w:val="00F55838"/>
    <w:rsid w:val="00F61502"/>
    <w:rsid w:val="00F632DA"/>
    <w:rsid w:val="00F6481A"/>
    <w:rsid w:val="00F72819"/>
    <w:rsid w:val="00F74047"/>
    <w:rsid w:val="00F81104"/>
    <w:rsid w:val="00FA5FFD"/>
    <w:rsid w:val="00FB0E7E"/>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56104481"/>
  <w15:chartTrackingRefBased/>
  <w15:docId w15:val="{7B2DBC91-088A-4B6D-871E-E7264979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 w:type="paragraph" w:styleId="FootnoteText">
    <w:name w:val="footnote text"/>
    <w:basedOn w:val="Normal"/>
    <w:link w:val="FootnoteTextChar"/>
    <w:uiPriority w:val="99"/>
    <w:unhideWhenUsed/>
    <w:rsid w:val="00F6481A"/>
    <w:pPr>
      <w:widowControl/>
      <w:autoSpaceDE/>
      <w:autoSpaceDN/>
      <w:adjustRightInd/>
    </w:pPr>
    <w:rPr>
      <w:rFonts w:ascii="Calibri" w:eastAsia="Calibri" w:hAnsi="Calibri" w:cs="Times New Roman"/>
    </w:rPr>
  </w:style>
  <w:style w:type="character" w:customStyle="1" w:styleId="FootnoteTextChar">
    <w:name w:val="Footnote Text Char"/>
    <w:link w:val="FootnoteText"/>
    <w:uiPriority w:val="99"/>
    <w:rsid w:val="00F6481A"/>
    <w:rPr>
      <w:rFonts w:ascii="Calibri" w:eastAsia="Calibri" w:hAnsi="Calibri"/>
    </w:rPr>
  </w:style>
  <w:style w:type="character" w:styleId="FootnoteReference">
    <w:name w:val="footnote reference"/>
    <w:uiPriority w:val="99"/>
    <w:unhideWhenUsed/>
    <w:rsid w:val="00F64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63B4-7341-47F3-A8CB-FF02F4AB93D3}">
  <ds:schemaRefs>
    <ds:schemaRef ds:uri="http://schemas.microsoft.com/sharepoint/v3/contenttype/forms"/>
  </ds:schemaRefs>
</ds:datastoreItem>
</file>

<file path=customXml/itemProps2.xml><?xml version="1.0" encoding="utf-8"?>
<ds:datastoreItem xmlns:ds="http://schemas.openxmlformats.org/officeDocument/2006/customXml" ds:itemID="{8B5F1851-70E3-4376-A23F-E3A1F0C0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F93F9-E8F4-4403-8554-7DF5810A606A}">
  <ds:schemaRef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EAAAE5E-42FD-414A-8A46-6ABA96E8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1166</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Gray, Maureen@DIR</cp:lastModifiedBy>
  <cp:revision>6</cp:revision>
  <cp:lastPrinted>2007-09-11T19:44:00Z</cp:lastPrinted>
  <dcterms:created xsi:type="dcterms:W3CDTF">2022-02-24T18:43:00Z</dcterms:created>
  <dcterms:modified xsi:type="dcterms:W3CDTF">2022-02-24T20:23:00Z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