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44B1F" w14:textId="46FBFCF1" w:rsidR="00D53859" w:rsidRPr="00CE636E" w:rsidRDefault="00DC402D" w:rsidP="001716B0">
      <w:pPr>
        <w:pStyle w:val="Heading1"/>
      </w:pPr>
      <w:r w:rsidRPr="00CE636E">
        <w:t xml:space="preserve">Statement by the Los Angeles County Department of Public Health to the </w:t>
      </w:r>
      <w:r w:rsidR="00BB2605">
        <w:br/>
      </w:r>
      <w:r w:rsidRPr="00CE636E">
        <w:t xml:space="preserve">Cal/OSHA Advisory Subcommittee on </w:t>
      </w:r>
      <w:r w:rsidR="00D53859" w:rsidRPr="00CE636E">
        <w:t>Medical Issues</w:t>
      </w:r>
      <w:r w:rsidRPr="00CE636E">
        <w:t>,</w:t>
      </w:r>
      <w:r w:rsidR="00BB2605">
        <w:t xml:space="preserve"> </w:t>
      </w:r>
      <w:r w:rsidR="00BB2605">
        <w:br/>
      </w:r>
      <w:r w:rsidR="00157B7B" w:rsidRPr="00CE636E">
        <w:t>Bloodborne Pathogens in the</w:t>
      </w:r>
      <w:r w:rsidRPr="00CE636E">
        <w:t xml:space="preserve"> Adult Film Industry</w:t>
      </w:r>
      <w:r w:rsidR="00BB2605">
        <w:t xml:space="preserve"> </w:t>
      </w:r>
      <w:r w:rsidR="00BB2605">
        <w:br/>
      </w:r>
      <w:r w:rsidR="00D53859" w:rsidRPr="00CE636E">
        <w:t>September 14, 2010</w:t>
      </w:r>
    </w:p>
    <w:p w14:paraId="06C0355D" w14:textId="5D0BD921" w:rsidR="00DC2586" w:rsidRPr="00CE636E" w:rsidRDefault="00111776" w:rsidP="00BB2605">
      <w:pPr>
        <w:autoSpaceDE w:val="0"/>
        <w:autoSpaceDN w:val="0"/>
        <w:adjustRightInd w:val="0"/>
        <w:spacing w:before="240"/>
        <w:rPr>
          <w:sz w:val="22"/>
          <w:szCs w:val="22"/>
        </w:rPr>
      </w:pPr>
      <w:r w:rsidRPr="00CE636E">
        <w:rPr>
          <w:sz w:val="22"/>
          <w:szCs w:val="22"/>
        </w:rPr>
        <w:t xml:space="preserve">In June </w:t>
      </w:r>
      <w:r w:rsidR="000A6DCC" w:rsidRPr="00CE636E">
        <w:rPr>
          <w:sz w:val="22"/>
          <w:szCs w:val="22"/>
        </w:rPr>
        <w:t xml:space="preserve">of </w:t>
      </w:r>
      <w:r w:rsidRPr="00CE636E">
        <w:rPr>
          <w:sz w:val="22"/>
          <w:szCs w:val="22"/>
        </w:rPr>
        <w:t xml:space="preserve">2010 the </w:t>
      </w:r>
      <w:r w:rsidR="00E66770" w:rsidRPr="00CE636E">
        <w:rPr>
          <w:sz w:val="22"/>
          <w:szCs w:val="22"/>
        </w:rPr>
        <w:t xml:space="preserve">County of Los Angeles </w:t>
      </w:r>
      <w:r w:rsidRPr="00CE636E">
        <w:rPr>
          <w:sz w:val="22"/>
          <w:szCs w:val="22"/>
        </w:rPr>
        <w:t>Department</w:t>
      </w:r>
      <w:r w:rsidR="00E66770" w:rsidRPr="00CE636E">
        <w:rPr>
          <w:sz w:val="22"/>
          <w:szCs w:val="22"/>
        </w:rPr>
        <w:t xml:space="preserve"> of Public Health</w:t>
      </w:r>
      <w:r w:rsidRPr="00CE636E">
        <w:rPr>
          <w:sz w:val="22"/>
          <w:szCs w:val="22"/>
        </w:rPr>
        <w:t xml:space="preserve"> </w:t>
      </w:r>
      <w:r w:rsidR="00E66770" w:rsidRPr="00CE636E">
        <w:rPr>
          <w:sz w:val="22"/>
          <w:szCs w:val="22"/>
        </w:rPr>
        <w:t>declared its</w:t>
      </w:r>
      <w:r w:rsidRPr="00CE636E">
        <w:rPr>
          <w:sz w:val="22"/>
          <w:szCs w:val="22"/>
        </w:rPr>
        <w:t xml:space="preserve"> support </w:t>
      </w:r>
      <w:r w:rsidR="00E66770" w:rsidRPr="00CE636E">
        <w:rPr>
          <w:sz w:val="22"/>
          <w:szCs w:val="22"/>
        </w:rPr>
        <w:t xml:space="preserve">for </w:t>
      </w:r>
      <w:r w:rsidR="000A6DCC" w:rsidRPr="00CE636E">
        <w:rPr>
          <w:sz w:val="22"/>
          <w:szCs w:val="22"/>
        </w:rPr>
        <w:t xml:space="preserve">proposed changes to </w:t>
      </w:r>
      <w:r w:rsidR="002E3B83" w:rsidRPr="00CE636E">
        <w:rPr>
          <w:sz w:val="22"/>
          <w:szCs w:val="22"/>
        </w:rPr>
        <w:t xml:space="preserve">the </w:t>
      </w:r>
      <w:r w:rsidR="00D01CA8" w:rsidRPr="00CE636E">
        <w:rPr>
          <w:sz w:val="22"/>
          <w:szCs w:val="22"/>
        </w:rPr>
        <w:t>Blood</w:t>
      </w:r>
      <w:r w:rsidR="00717423" w:rsidRPr="00CE636E">
        <w:rPr>
          <w:sz w:val="22"/>
          <w:szCs w:val="22"/>
        </w:rPr>
        <w:t>borne</w:t>
      </w:r>
      <w:r w:rsidR="00D01CA8" w:rsidRPr="00CE636E">
        <w:rPr>
          <w:sz w:val="22"/>
          <w:szCs w:val="22"/>
        </w:rPr>
        <w:t xml:space="preserve"> P</w:t>
      </w:r>
      <w:r w:rsidR="003E1BD7" w:rsidRPr="00CE636E">
        <w:rPr>
          <w:sz w:val="22"/>
          <w:szCs w:val="22"/>
        </w:rPr>
        <w:t>athogen</w:t>
      </w:r>
      <w:r w:rsidR="00D01CA8" w:rsidRPr="00CE636E">
        <w:rPr>
          <w:sz w:val="22"/>
          <w:szCs w:val="22"/>
        </w:rPr>
        <w:t>s S</w:t>
      </w:r>
      <w:r w:rsidR="002E3B83" w:rsidRPr="00CE636E">
        <w:rPr>
          <w:sz w:val="22"/>
          <w:szCs w:val="22"/>
        </w:rPr>
        <w:t xml:space="preserve">tandard (California Health and Safety Code, </w:t>
      </w:r>
      <w:r w:rsidR="007C51D0" w:rsidRPr="00CE636E">
        <w:rPr>
          <w:sz w:val="22"/>
          <w:szCs w:val="22"/>
        </w:rPr>
        <w:t xml:space="preserve">Title 8, </w:t>
      </w:r>
      <w:r w:rsidR="004A3C87" w:rsidRPr="00CE636E">
        <w:rPr>
          <w:sz w:val="22"/>
          <w:szCs w:val="22"/>
        </w:rPr>
        <w:t>Section 5193</w:t>
      </w:r>
      <w:r w:rsidR="002E3B83" w:rsidRPr="00CE636E">
        <w:rPr>
          <w:sz w:val="22"/>
          <w:szCs w:val="22"/>
        </w:rPr>
        <w:t>)</w:t>
      </w:r>
      <w:r w:rsidR="00717423" w:rsidRPr="00CE636E">
        <w:rPr>
          <w:rStyle w:val="EndnoteReference"/>
          <w:sz w:val="22"/>
          <w:szCs w:val="22"/>
        </w:rPr>
        <w:endnoteReference w:id="1"/>
      </w:r>
      <w:r w:rsidR="00986536" w:rsidRPr="00CE636E">
        <w:rPr>
          <w:sz w:val="22"/>
          <w:szCs w:val="22"/>
        </w:rPr>
        <w:t xml:space="preserve"> by</w:t>
      </w:r>
      <w:r w:rsidR="004A3C87" w:rsidRPr="00CE636E">
        <w:rPr>
          <w:sz w:val="22"/>
          <w:szCs w:val="22"/>
        </w:rPr>
        <w:t xml:space="preserve"> add</w:t>
      </w:r>
      <w:r w:rsidR="00986536" w:rsidRPr="00CE636E">
        <w:rPr>
          <w:sz w:val="22"/>
          <w:szCs w:val="22"/>
        </w:rPr>
        <w:t>ing</w:t>
      </w:r>
      <w:r w:rsidR="004A3C87" w:rsidRPr="00CE636E">
        <w:rPr>
          <w:sz w:val="22"/>
          <w:szCs w:val="22"/>
        </w:rPr>
        <w:t xml:space="preserve"> a new subsection that would clarify required protections for workers in </w:t>
      </w:r>
      <w:r w:rsidR="002E3B83" w:rsidRPr="00CE636E">
        <w:rPr>
          <w:sz w:val="22"/>
          <w:szCs w:val="22"/>
        </w:rPr>
        <w:t>t</w:t>
      </w:r>
      <w:r w:rsidR="00EE3E0A" w:rsidRPr="00CE636E">
        <w:rPr>
          <w:sz w:val="22"/>
          <w:szCs w:val="22"/>
        </w:rPr>
        <w:t>his industry</w:t>
      </w:r>
      <w:r w:rsidR="00D01CA8" w:rsidRPr="00CE636E">
        <w:rPr>
          <w:sz w:val="22"/>
          <w:szCs w:val="22"/>
        </w:rPr>
        <w:t xml:space="preserve"> and</w:t>
      </w:r>
      <w:r w:rsidR="004A3C87" w:rsidRPr="00CE636E">
        <w:rPr>
          <w:sz w:val="22"/>
          <w:szCs w:val="22"/>
        </w:rPr>
        <w:t xml:space="preserve"> limit their exposure to bloodborne pathogens, other p</w:t>
      </w:r>
      <w:r w:rsidR="0093393C" w:rsidRPr="00CE636E">
        <w:rPr>
          <w:sz w:val="22"/>
          <w:szCs w:val="22"/>
        </w:rPr>
        <w:t xml:space="preserve">otentially infectious material, </w:t>
      </w:r>
      <w:r w:rsidR="004A3C87" w:rsidRPr="00CE636E">
        <w:rPr>
          <w:sz w:val="22"/>
          <w:szCs w:val="22"/>
        </w:rPr>
        <w:t xml:space="preserve">fecal pathogens and </w:t>
      </w:r>
      <w:r w:rsidR="002E3B83" w:rsidRPr="00CE636E">
        <w:rPr>
          <w:sz w:val="22"/>
          <w:szCs w:val="22"/>
        </w:rPr>
        <w:t>STDs</w:t>
      </w:r>
      <w:r w:rsidR="004A3C87" w:rsidRPr="00CE636E">
        <w:rPr>
          <w:sz w:val="22"/>
          <w:szCs w:val="22"/>
        </w:rPr>
        <w:t>, including HIV.</w:t>
      </w:r>
      <w:r w:rsidR="00E931A4">
        <w:rPr>
          <w:rStyle w:val="EndnoteReference"/>
          <w:sz w:val="22"/>
          <w:szCs w:val="22"/>
        </w:rPr>
        <w:t xml:space="preserve"> </w:t>
      </w:r>
      <w:r w:rsidR="005058D8" w:rsidRPr="00CE636E">
        <w:rPr>
          <w:rStyle w:val="EndnoteReference"/>
          <w:sz w:val="22"/>
          <w:szCs w:val="22"/>
        </w:rPr>
        <w:endnoteReference w:id="2"/>
      </w:r>
      <w:r w:rsidR="00E931A4">
        <w:rPr>
          <w:sz w:val="22"/>
          <w:szCs w:val="22"/>
        </w:rPr>
        <w:t xml:space="preserve"> </w:t>
      </w:r>
      <w:r w:rsidR="00DC2586" w:rsidRPr="00CE636E">
        <w:rPr>
          <w:sz w:val="22"/>
          <w:szCs w:val="22"/>
        </w:rPr>
        <w:t>The Department suggest</w:t>
      </w:r>
      <w:r w:rsidR="005956F8" w:rsidRPr="00CE636E">
        <w:rPr>
          <w:sz w:val="22"/>
          <w:szCs w:val="22"/>
        </w:rPr>
        <w:t>ed</w:t>
      </w:r>
      <w:r w:rsidR="00DC2586" w:rsidRPr="00CE636E">
        <w:rPr>
          <w:sz w:val="22"/>
          <w:szCs w:val="22"/>
        </w:rPr>
        <w:t xml:space="preserve"> the following proposed language:</w:t>
      </w:r>
    </w:p>
    <w:p w14:paraId="24600E47" w14:textId="0D6DE69F" w:rsidR="00DC2586" w:rsidRPr="004E25C1" w:rsidRDefault="00DC2586" w:rsidP="004E25C1">
      <w:pPr>
        <w:pStyle w:val="ListParagraph"/>
        <w:numPr>
          <w:ilvl w:val="3"/>
          <w:numId w:val="14"/>
        </w:numPr>
        <w:spacing w:before="240"/>
        <w:ind w:left="720"/>
        <w:contextualSpacing w:val="0"/>
        <w:rPr>
          <w:sz w:val="22"/>
          <w:szCs w:val="22"/>
        </w:rPr>
      </w:pPr>
      <w:r w:rsidRPr="004E25C1">
        <w:rPr>
          <w:sz w:val="22"/>
          <w:szCs w:val="22"/>
        </w:rPr>
        <w:t>Require all performers to use condoms;</w:t>
      </w:r>
    </w:p>
    <w:p w14:paraId="14107211" w14:textId="77777777" w:rsidR="00DC2586" w:rsidRPr="00CE636E" w:rsidRDefault="00DC2586" w:rsidP="004E25C1">
      <w:pPr>
        <w:pStyle w:val="ListParagraph"/>
        <w:numPr>
          <w:ilvl w:val="3"/>
          <w:numId w:val="14"/>
        </w:numPr>
        <w:ind w:left="720"/>
        <w:contextualSpacing w:val="0"/>
        <w:rPr>
          <w:sz w:val="22"/>
          <w:szCs w:val="22"/>
        </w:rPr>
      </w:pPr>
      <w:r w:rsidRPr="00CE636E">
        <w:rPr>
          <w:sz w:val="22"/>
          <w:szCs w:val="22"/>
        </w:rPr>
        <w:t xml:space="preserve">Require screening for STDs consistent with incubation periods, anatomic sites and performance characteristic of the diagnostic tests; </w:t>
      </w:r>
    </w:p>
    <w:p w14:paraId="55F4B976" w14:textId="77777777" w:rsidR="00DC2586" w:rsidRPr="00CE636E" w:rsidRDefault="00DC2586" w:rsidP="004E25C1">
      <w:pPr>
        <w:pStyle w:val="ListParagraph"/>
        <w:numPr>
          <w:ilvl w:val="3"/>
          <w:numId w:val="14"/>
        </w:numPr>
        <w:ind w:left="720"/>
        <w:contextualSpacing w:val="0"/>
        <w:rPr>
          <w:sz w:val="22"/>
          <w:szCs w:val="22"/>
        </w:rPr>
      </w:pPr>
      <w:r w:rsidRPr="00CE636E">
        <w:rPr>
          <w:sz w:val="22"/>
          <w:szCs w:val="22"/>
        </w:rPr>
        <w:t xml:space="preserve">Require medical monitoring of workers consistent with the bloodborne pathogen and Cal/OSHA standards set by the State, with screening costs paid by the industry; </w:t>
      </w:r>
    </w:p>
    <w:p w14:paraId="287BC20E" w14:textId="77777777" w:rsidR="00DC2586" w:rsidRPr="00CE636E" w:rsidRDefault="00DC2586" w:rsidP="004E25C1">
      <w:pPr>
        <w:pStyle w:val="ListParagraph"/>
        <w:numPr>
          <w:ilvl w:val="3"/>
          <w:numId w:val="14"/>
        </w:numPr>
        <w:ind w:left="720"/>
        <w:contextualSpacing w:val="0"/>
        <w:rPr>
          <w:sz w:val="22"/>
          <w:szCs w:val="22"/>
        </w:rPr>
      </w:pPr>
      <w:r w:rsidRPr="00CE636E">
        <w:rPr>
          <w:sz w:val="22"/>
          <w:szCs w:val="22"/>
        </w:rPr>
        <w:t>Maintain confidentiality of worker testing and other medical records out of view of the employer;</w:t>
      </w:r>
    </w:p>
    <w:p w14:paraId="2ED052ED" w14:textId="77777777" w:rsidR="00DC2586" w:rsidRPr="00CE636E" w:rsidRDefault="00DC2586" w:rsidP="004E25C1">
      <w:pPr>
        <w:pStyle w:val="ListParagraph"/>
        <w:numPr>
          <w:ilvl w:val="3"/>
          <w:numId w:val="14"/>
        </w:numPr>
        <w:ind w:left="720"/>
        <w:contextualSpacing w:val="0"/>
        <w:rPr>
          <w:sz w:val="22"/>
          <w:szCs w:val="22"/>
        </w:rPr>
      </w:pPr>
      <w:r w:rsidRPr="00CE636E">
        <w:rPr>
          <w:sz w:val="22"/>
          <w:szCs w:val="22"/>
        </w:rPr>
        <w:t>Require full cooperation of test sites, production companies and talent agencies during any investigation of possible workplace exposures;</w:t>
      </w:r>
    </w:p>
    <w:p w14:paraId="090A1EA6" w14:textId="77777777" w:rsidR="00DC2586" w:rsidRPr="00CE636E" w:rsidRDefault="00DC2586" w:rsidP="004E25C1">
      <w:pPr>
        <w:pStyle w:val="ListParagraph"/>
        <w:numPr>
          <w:ilvl w:val="3"/>
          <w:numId w:val="14"/>
        </w:numPr>
        <w:ind w:left="720"/>
        <w:contextualSpacing w:val="0"/>
        <w:rPr>
          <w:sz w:val="22"/>
          <w:szCs w:val="22"/>
        </w:rPr>
      </w:pPr>
      <w:r w:rsidRPr="00CE636E">
        <w:rPr>
          <w:sz w:val="22"/>
          <w:szCs w:val="22"/>
        </w:rPr>
        <w:t>Require ongoing monitoring to ensure compliance with reporting, Cal/OSHA workplace requirements and cooperation with investigation by state and local health departments.</w:t>
      </w:r>
    </w:p>
    <w:p w14:paraId="003ECDE0" w14:textId="1BBF1446" w:rsidR="003131D8" w:rsidRPr="00CE636E" w:rsidRDefault="00101A30" w:rsidP="00E931A4">
      <w:pPr>
        <w:pStyle w:val="Default"/>
        <w:spacing w:before="240"/>
        <w:rPr>
          <w:sz w:val="22"/>
          <w:szCs w:val="22"/>
        </w:rPr>
      </w:pPr>
      <w:r w:rsidRPr="00CE636E">
        <w:rPr>
          <w:sz w:val="22"/>
          <w:szCs w:val="22"/>
        </w:rPr>
        <w:t>After an HIV outbreak occurred in the adult film industry in 2004, Cal/OSHA determined that the blood borne pathogen standard applied to this industry.</w:t>
      </w:r>
      <w:r w:rsidR="00E931A4">
        <w:rPr>
          <w:sz w:val="22"/>
          <w:szCs w:val="22"/>
        </w:rPr>
        <w:t xml:space="preserve"> </w:t>
      </w:r>
      <w:r w:rsidRPr="00CE636E">
        <w:rPr>
          <w:sz w:val="22"/>
          <w:szCs w:val="22"/>
        </w:rPr>
        <w:t xml:space="preserve">The standard requires use of barrier protection such as condoms; medical monitoring requirements for HIV/STD testing and hepatitis B vaccine, to be paid by the employer; a confidential medical record for each employee; an exposure control plan; and worker health and safety training. </w:t>
      </w:r>
    </w:p>
    <w:p w14:paraId="57C827E1" w14:textId="77777777" w:rsidR="00B84EA5" w:rsidRPr="00CE636E" w:rsidRDefault="005058D8" w:rsidP="0009590D">
      <w:pPr>
        <w:pStyle w:val="Default"/>
        <w:spacing w:before="240" w:after="240"/>
        <w:rPr>
          <w:sz w:val="22"/>
          <w:szCs w:val="22"/>
        </w:rPr>
      </w:pPr>
      <w:r w:rsidRPr="00CE636E">
        <w:rPr>
          <w:sz w:val="22"/>
          <w:szCs w:val="22"/>
        </w:rPr>
        <w:t>The current</w:t>
      </w:r>
      <w:r w:rsidR="00101A30" w:rsidRPr="00CE636E">
        <w:rPr>
          <w:sz w:val="22"/>
          <w:szCs w:val="22"/>
        </w:rPr>
        <w:t xml:space="preserve"> industry </w:t>
      </w:r>
      <w:r w:rsidRPr="00CE636E">
        <w:rPr>
          <w:sz w:val="22"/>
          <w:szCs w:val="22"/>
        </w:rPr>
        <w:t xml:space="preserve">standard </w:t>
      </w:r>
      <w:r w:rsidR="00101A30" w:rsidRPr="00CE636E">
        <w:rPr>
          <w:sz w:val="22"/>
          <w:szCs w:val="22"/>
        </w:rPr>
        <w:t>relies on monthly volu</w:t>
      </w:r>
      <w:r w:rsidRPr="00CE636E">
        <w:rPr>
          <w:sz w:val="22"/>
          <w:szCs w:val="22"/>
        </w:rPr>
        <w:t xml:space="preserve">ntary STD testing of performers. There are </w:t>
      </w:r>
      <w:r w:rsidR="00101A30" w:rsidRPr="00CE636E">
        <w:rPr>
          <w:sz w:val="22"/>
          <w:szCs w:val="22"/>
        </w:rPr>
        <w:t xml:space="preserve">low rates of condom use and high risk sexual practices </w:t>
      </w:r>
      <w:r w:rsidRPr="00CE636E">
        <w:rPr>
          <w:sz w:val="22"/>
          <w:szCs w:val="22"/>
        </w:rPr>
        <w:t xml:space="preserve">in the industry </w:t>
      </w:r>
      <w:r w:rsidR="00101A30" w:rsidRPr="00CE636E">
        <w:rPr>
          <w:sz w:val="22"/>
          <w:szCs w:val="22"/>
        </w:rPr>
        <w:t xml:space="preserve">such as unprotected, prolonged and repeated sexual acts with multiple sexual partners over short time periods. These practices increase the likelihood of acquisition and transmission of STDs. </w:t>
      </w:r>
      <w:r w:rsidR="00B84EA5" w:rsidRPr="00CE636E">
        <w:rPr>
          <w:sz w:val="22"/>
          <w:szCs w:val="22"/>
        </w:rPr>
        <w:t xml:space="preserve">Rates of STDs such as chlamydia and gonorrhea, are over seven times higher in the adult film industry than are found in the general population, and up to one-quarter of performers are diagnosed with an STD in the course of one year. </w:t>
      </w:r>
      <w:r w:rsidR="003100E6" w:rsidRPr="00CE636E">
        <w:rPr>
          <w:sz w:val="22"/>
          <w:szCs w:val="22"/>
        </w:rPr>
        <w:t>Between 1998 and 2008, 17 HIV cases were reported among performers</w:t>
      </w:r>
      <w:r w:rsidR="005C7BDC" w:rsidRPr="00CE636E">
        <w:rPr>
          <w:sz w:val="22"/>
          <w:szCs w:val="22"/>
        </w:rPr>
        <w:t>.</w:t>
      </w:r>
      <w:r w:rsidR="003100E6" w:rsidRPr="00CE636E">
        <w:rPr>
          <w:rStyle w:val="EndnoteReference"/>
          <w:sz w:val="22"/>
          <w:szCs w:val="22"/>
        </w:rPr>
        <w:endnoteReference w:id="3"/>
      </w:r>
      <w:r w:rsidR="005C7BDC" w:rsidRPr="00CE636E">
        <w:rPr>
          <w:sz w:val="22"/>
          <w:szCs w:val="22"/>
        </w:rPr>
        <w:t xml:space="preserve"> </w:t>
      </w:r>
    </w:p>
    <w:p w14:paraId="320E38C2" w14:textId="10C16DD5" w:rsidR="00B030B2" w:rsidRPr="00CE636E" w:rsidRDefault="00B030B2" w:rsidP="00E77D50">
      <w:pPr>
        <w:pStyle w:val="Heading2"/>
      </w:pPr>
      <w:r w:rsidRPr="00CE636E">
        <w:t xml:space="preserve">Inadequacy of Screening </w:t>
      </w:r>
      <w:r w:rsidR="008875A8" w:rsidRPr="00CE636E">
        <w:t xml:space="preserve">as the Primary Method </w:t>
      </w:r>
      <w:r w:rsidRPr="00CE636E">
        <w:t xml:space="preserve">for </w:t>
      </w:r>
      <w:r w:rsidR="008875A8" w:rsidRPr="00CE636E">
        <w:t xml:space="preserve">the Prevention of </w:t>
      </w:r>
      <w:r w:rsidRPr="00CE636E">
        <w:t>STDs/HIV</w:t>
      </w:r>
    </w:p>
    <w:p w14:paraId="66A43AB9" w14:textId="435A512E" w:rsidR="003752C6" w:rsidRPr="00CE636E" w:rsidRDefault="0024484B" w:rsidP="005058D8">
      <w:pPr>
        <w:autoSpaceDE w:val="0"/>
        <w:autoSpaceDN w:val="0"/>
        <w:adjustRightInd w:val="0"/>
        <w:rPr>
          <w:sz w:val="22"/>
          <w:szCs w:val="22"/>
        </w:rPr>
      </w:pPr>
      <w:r w:rsidRPr="00CE636E">
        <w:rPr>
          <w:sz w:val="22"/>
          <w:szCs w:val="22"/>
        </w:rPr>
        <w:t xml:space="preserve">It has been the consistent position of the </w:t>
      </w:r>
      <w:smartTag w:uri="urn:schemas-microsoft-com:office:smarttags" w:element="place">
        <w:smartTag w:uri="urn:schemas-microsoft-com:office:smarttags" w:element="PlaceType">
          <w:r w:rsidRPr="00CE636E">
            <w:rPr>
              <w:sz w:val="22"/>
              <w:szCs w:val="22"/>
            </w:rPr>
            <w:t>County</w:t>
          </w:r>
        </w:smartTag>
        <w:r w:rsidRPr="00CE636E">
          <w:rPr>
            <w:sz w:val="22"/>
            <w:szCs w:val="22"/>
          </w:rPr>
          <w:t xml:space="preserve"> of </w:t>
        </w:r>
        <w:smartTag w:uri="urn:schemas-microsoft-com:office:smarttags" w:element="PlaceName">
          <w:r w:rsidRPr="00CE636E">
            <w:rPr>
              <w:sz w:val="22"/>
              <w:szCs w:val="22"/>
            </w:rPr>
            <w:t>Los Angeles</w:t>
          </w:r>
        </w:smartTag>
      </w:smartTag>
      <w:r w:rsidRPr="00CE636E">
        <w:rPr>
          <w:sz w:val="22"/>
          <w:szCs w:val="22"/>
        </w:rPr>
        <w:t>, Department of Public Health that screening alone</w:t>
      </w:r>
      <w:r w:rsidR="00703707" w:rsidRPr="00CE636E">
        <w:rPr>
          <w:sz w:val="22"/>
          <w:szCs w:val="22"/>
        </w:rPr>
        <w:t xml:space="preserve"> without barrier protection</w:t>
      </w:r>
      <w:r w:rsidRPr="00CE636E">
        <w:rPr>
          <w:sz w:val="22"/>
          <w:szCs w:val="22"/>
        </w:rPr>
        <w:t xml:space="preserve"> is insufficient for preventing the spread of STDs, including HIV.</w:t>
      </w:r>
      <w:r w:rsidRPr="00CE636E">
        <w:rPr>
          <w:rStyle w:val="FootnoteReference"/>
          <w:sz w:val="22"/>
          <w:szCs w:val="22"/>
        </w:rPr>
        <w:t xml:space="preserve"> </w:t>
      </w:r>
      <w:r w:rsidRPr="00CE636E">
        <w:rPr>
          <w:rStyle w:val="EndnoteReference"/>
          <w:sz w:val="22"/>
          <w:szCs w:val="22"/>
        </w:rPr>
        <w:endnoteReference w:id="4"/>
      </w:r>
      <w:r w:rsidRPr="00CE636E">
        <w:rPr>
          <w:sz w:val="22"/>
          <w:szCs w:val="22"/>
          <w:vertAlign w:val="superscript"/>
        </w:rPr>
        <w:t>,</w:t>
      </w:r>
      <w:r w:rsidRPr="00CE636E">
        <w:rPr>
          <w:rStyle w:val="EndnoteReference"/>
          <w:sz w:val="22"/>
          <w:szCs w:val="22"/>
        </w:rPr>
        <w:endnoteReference w:id="5"/>
      </w:r>
      <w:r w:rsidR="00E931A4">
        <w:rPr>
          <w:sz w:val="22"/>
          <w:szCs w:val="22"/>
          <w:vertAlign w:val="superscript"/>
        </w:rPr>
        <w:t xml:space="preserve"> </w:t>
      </w:r>
      <w:r w:rsidR="006713C1" w:rsidRPr="00CE636E">
        <w:rPr>
          <w:sz w:val="22"/>
          <w:szCs w:val="22"/>
        </w:rPr>
        <w:t xml:space="preserve">The 2004 HIV outbreak revealed that </w:t>
      </w:r>
      <w:r w:rsidR="008875A8" w:rsidRPr="00CE636E">
        <w:rPr>
          <w:sz w:val="22"/>
          <w:szCs w:val="22"/>
        </w:rPr>
        <w:t>three of 14 female performers exposed to HIV became infected from a single infected male performer.</w:t>
      </w:r>
      <w:r w:rsidR="00E931A4">
        <w:rPr>
          <w:sz w:val="22"/>
          <w:szCs w:val="22"/>
        </w:rPr>
        <w:t xml:space="preserve"> </w:t>
      </w:r>
      <w:r w:rsidR="008875A8" w:rsidRPr="00CE636E">
        <w:rPr>
          <w:sz w:val="22"/>
          <w:szCs w:val="22"/>
        </w:rPr>
        <w:t>The index case had 61 primary and secondary sexual contacts within 23 days, and the attack rate was 23%.</w:t>
      </w:r>
      <w:r w:rsidR="003A7B98" w:rsidRPr="00CE636E">
        <w:rPr>
          <w:sz w:val="22"/>
          <w:szCs w:val="22"/>
          <w:vertAlign w:val="superscript"/>
        </w:rPr>
        <w:t xml:space="preserve"> </w:t>
      </w:r>
      <w:r w:rsidR="003A7B98" w:rsidRPr="00CE636E">
        <w:rPr>
          <w:rStyle w:val="EndnoteReference"/>
          <w:sz w:val="22"/>
          <w:szCs w:val="22"/>
        </w:rPr>
        <w:endnoteReference w:id="6"/>
      </w:r>
      <w:r w:rsidR="001E5A75" w:rsidRPr="00CE636E">
        <w:rPr>
          <w:sz w:val="22"/>
          <w:szCs w:val="22"/>
          <w:vertAlign w:val="superscript"/>
        </w:rPr>
        <w:t xml:space="preserve"> </w:t>
      </w:r>
      <w:r w:rsidR="008875A8" w:rsidRPr="00CE636E">
        <w:rPr>
          <w:sz w:val="22"/>
          <w:szCs w:val="22"/>
        </w:rPr>
        <w:t>The infected male performer had consistently followed the industry standard of voluntary, monthly HIV testing.</w:t>
      </w:r>
      <w:r w:rsidR="00283D47" w:rsidRPr="00CE636E">
        <w:rPr>
          <w:sz w:val="22"/>
          <w:szCs w:val="22"/>
        </w:rPr>
        <w:t xml:space="preserve"> </w:t>
      </w:r>
    </w:p>
    <w:p w14:paraId="1D780B78" w14:textId="0D79A0B3" w:rsidR="00EC1092" w:rsidRPr="00CE636E" w:rsidRDefault="00D2229A" w:rsidP="009B28F5">
      <w:pPr>
        <w:spacing w:before="240"/>
        <w:rPr>
          <w:color w:val="000000"/>
          <w:sz w:val="22"/>
          <w:szCs w:val="22"/>
        </w:rPr>
      </w:pPr>
      <w:r w:rsidRPr="00CE636E">
        <w:rPr>
          <w:sz w:val="22"/>
          <w:szCs w:val="22"/>
        </w:rPr>
        <w:t xml:space="preserve">Other studies have shown the limitations of screening </w:t>
      </w:r>
      <w:r w:rsidR="00BB258E">
        <w:rPr>
          <w:sz w:val="22"/>
          <w:szCs w:val="22"/>
        </w:rPr>
        <w:t>as a sole prevention method.</w:t>
      </w:r>
      <w:r w:rsidRPr="00CE636E">
        <w:rPr>
          <w:sz w:val="22"/>
          <w:szCs w:val="22"/>
        </w:rPr>
        <w:t xml:space="preserve"> </w:t>
      </w:r>
      <w:r w:rsidR="008875A8" w:rsidRPr="00CE636E">
        <w:rPr>
          <w:sz w:val="22"/>
          <w:szCs w:val="22"/>
        </w:rPr>
        <w:t xml:space="preserve">Coyne </w:t>
      </w:r>
      <w:r w:rsidR="00EA675C" w:rsidRPr="00CE636E">
        <w:rPr>
          <w:sz w:val="22"/>
          <w:szCs w:val="22"/>
        </w:rPr>
        <w:t>and colleagues</w:t>
      </w:r>
      <w:r w:rsidR="003131D8" w:rsidRPr="00CE636E">
        <w:rPr>
          <w:rStyle w:val="EndnoteReference"/>
          <w:sz w:val="22"/>
          <w:szCs w:val="22"/>
        </w:rPr>
        <w:endnoteReference w:id="7"/>
      </w:r>
      <w:r w:rsidR="008875A8" w:rsidRPr="00CE636E">
        <w:rPr>
          <w:sz w:val="22"/>
          <w:szCs w:val="22"/>
        </w:rPr>
        <w:t xml:space="preserve"> (2009) </w:t>
      </w:r>
      <w:r w:rsidR="00283D47" w:rsidRPr="00CE636E">
        <w:rPr>
          <w:color w:val="000000"/>
          <w:sz w:val="22"/>
          <w:szCs w:val="22"/>
        </w:rPr>
        <w:t xml:space="preserve">found that among 115 adult film performers </w:t>
      </w:r>
      <w:r w:rsidR="003A6829" w:rsidRPr="00CE636E">
        <w:rPr>
          <w:color w:val="000000"/>
          <w:sz w:val="22"/>
          <w:szCs w:val="22"/>
        </w:rPr>
        <w:t xml:space="preserve">(56 women, 59 men) who </w:t>
      </w:r>
      <w:r w:rsidR="006713C1" w:rsidRPr="00CE636E">
        <w:rPr>
          <w:color w:val="000000"/>
          <w:sz w:val="22"/>
          <w:szCs w:val="22"/>
        </w:rPr>
        <w:t xml:space="preserve">were </w:t>
      </w:r>
      <w:r w:rsidR="003A6829" w:rsidRPr="00CE636E">
        <w:rPr>
          <w:color w:val="000000"/>
          <w:sz w:val="22"/>
          <w:szCs w:val="22"/>
        </w:rPr>
        <w:t xml:space="preserve">screened </w:t>
      </w:r>
      <w:r w:rsidR="006713C1" w:rsidRPr="00CE636E">
        <w:rPr>
          <w:color w:val="000000"/>
          <w:sz w:val="22"/>
          <w:szCs w:val="22"/>
        </w:rPr>
        <w:t xml:space="preserve">for STDs/HIV </w:t>
      </w:r>
      <w:r w:rsidR="00283D47" w:rsidRPr="00CE636E">
        <w:rPr>
          <w:color w:val="000000"/>
          <w:sz w:val="22"/>
          <w:szCs w:val="22"/>
        </w:rPr>
        <w:t>on a regular basis o</w:t>
      </w:r>
      <w:r w:rsidR="008875A8" w:rsidRPr="00CE636E">
        <w:rPr>
          <w:color w:val="000000"/>
          <w:sz w:val="22"/>
          <w:szCs w:val="22"/>
        </w:rPr>
        <w:t xml:space="preserve">ver a 13 month period, </w:t>
      </w:r>
      <w:r w:rsidR="00283D47" w:rsidRPr="00CE636E">
        <w:rPr>
          <w:color w:val="000000"/>
          <w:sz w:val="22"/>
          <w:szCs w:val="22"/>
        </w:rPr>
        <w:t xml:space="preserve">all </w:t>
      </w:r>
      <w:r w:rsidR="008875A8" w:rsidRPr="00CE636E">
        <w:rPr>
          <w:color w:val="000000"/>
          <w:sz w:val="22"/>
          <w:szCs w:val="22"/>
        </w:rPr>
        <w:t>reported unprotected sex during fi</w:t>
      </w:r>
      <w:r w:rsidR="006713C1" w:rsidRPr="00CE636E">
        <w:rPr>
          <w:color w:val="000000"/>
          <w:sz w:val="22"/>
          <w:szCs w:val="22"/>
        </w:rPr>
        <w:t xml:space="preserve">lming. Seventy-five percent </w:t>
      </w:r>
      <w:r w:rsidR="008875A8" w:rsidRPr="00CE636E">
        <w:rPr>
          <w:color w:val="000000"/>
          <w:sz w:val="22"/>
          <w:szCs w:val="22"/>
        </w:rPr>
        <w:t>had at least one sexual partner outside work, and 90% used con</w:t>
      </w:r>
      <w:r w:rsidR="006713C1" w:rsidRPr="00CE636E">
        <w:rPr>
          <w:color w:val="000000"/>
          <w:sz w:val="22"/>
          <w:szCs w:val="22"/>
        </w:rPr>
        <w:t>doms inconsistently with them.</w:t>
      </w:r>
      <w:r w:rsidR="008875A8" w:rsidRPr="00CE636E">
        <w:rPr>
          <w:color w:val="000000"/>
          <w:sz w:val="22"/>
          <w:szCs w:val="22"/>
        </w:rPr>
        <w:t xml:space="preserve"> Thirty-eight percent</w:t>
      </w:r>
      <w:r w:rsidR="00EC1092" w:rsidRPr="00CE636E">
        <w:rPr>
          <w:color w:val="000000"/>
          <w:sz w:val="22"/>
          <w:szCs w:val="22"/>
        </w:rPr>
        <w:t xml:space="preserve"> of performers</w:t>
      </w:r>
      <w:r w:rsidR="008875A8" w:rsidRPr="00CE636E">
        <w:rPr>
          <w:color w:val="000000"/>
          <w:sz w:val="22"/>
          <w:szCs w:val="22"/>
        </w:rPr>
        <w:t xml:space="preserve"> (44/115) were diagnosed with 77 </w:t>
      </w:r>
      <w:r w:rsidR="003670A2" w:rsidRPr="00CE636E">
        <w:rPr>
          <w:color w:val="000000"/>
          <w:sz w:val="22"/>
          <w:szCs w:val="22"/>
        </w:rPr>
        <w:t>infections</w:t>
      </w:r>
      <w:r w:rsidR="008875A8" w:rsidRPr="00CE636E">
        <w:rPr>
          <w:color w:val="000000"/>
          <w:sz w:val="22"/>
          <w:szCs w:val="22"/>
        </w:rPr>
        <w:t xml:space="preserve">, including non-specific urethritis (51), gonorrhea (10), chlamydia (6) and genital warts (6). Gonorrhea was found </w:t>
      </w:r>
      <w:r w:rsidR="008875A8" w:rsidRPr="00CE636E">
        <w:rPr>
          <w:color w:val="000000"/>
          <w:sz w:val="22"/>
          <w:szCs w:val="22"/>
        </w:rPr>
        <w:lastRenderedPageBreak/>
        <w:t>exclusively at the pharynx in three heterosexual men. There were no cases of HIV, syphilis, hepatitis B or hepatitis C.</w:t>
      </w:r>
      <w:r w:rsidR="00E931A4">
        <w:rPr>
          <w:color w:val="000000"/>
          <w:sz w:val="22"/>
          <w:szCs w:val="22"/>
        </w:rPr>
        <w:t xml:space="preserve"> </w:t>
      </w:r>
    </w:p>
    <w:p w14:paraId="7E20FC98" w14:textId="1BEE915A" w:rsidR="005E5AA8" w:rsidRPr="00CE636E" w:rsidRDefault="005E5AA8" w:rsidP="00690362">
      <w:pPr>
        <w:pStyle w:val="Heading2"/>
        <w:spacing w:before="240" w:after="240"/>
      </w:pPr>
      <w:r w:rsidRPr="00CE636E">
        <w:t>Specific Sexual Acts</w:t>
      </w:r>
      <w:r w:rsidR="00383DF3" w:rsidRPr="00CE636E">
        <w:t xml:space="preserve"> and Association with STD/HIV Risks</w:t>
      </w:r>
    </w:p>
    <w:p w14:paraId="29147089" w14:textId="42FB8DE9" w:rsidR="00CE636E" w:rsidRPr="00CE636E" w:rsidRDefault="009473F7" w:rsidP="00CE636E">
      <w:pPr>
        <w:rPr>
          <w:sz w:val="22"/>
          <w:szCs w:val="22"/>
        </w:rPr>
      </w:pPr>
      <w:r w:rsidRPr="00CE636E">
        <w:rPr>
          <w:b/>
          <w:sz w:val="22"/>
          <w:szCs w:val="22"/>
          <w:u w:val="single"/>
        </w:rPr>
        <w:t xml:space="preserve">Oral </w:t>
      </w:r>
      <w:r w:rsidR="00EA675C" w:rsidRPr="00CE636E">
        <w:rPr>
          <w:b/>
          <w:sz w:val="22"/>
          <w:szCs w:val="22"/>
          <w:u w:val="single"/>
        </w:rPr>
        <w:t>sex.</w:t>
      </w:r>
      <w:r w:rsidR="00D8698F" w:rsidRPr="00CE636E">
        <w:rPr>
          <w:b/>
          <w:sz w:val="22"/>
          <w:szCs w:val="22"/>
          <w:u w:val="single"/>
        </w:rPr>
        <w:t xml:space="preserve"> </w:t>
      </w:r>
      <w:r w:rsidR="00EA675C" w:rsidRPr="00CE636E">
        <w:rPr>
          <w:sz w:val="22"/>
          <w:szCs w:val="22"/>
        </w:rPr>
        <w:t>D’Souza</w:t>
      </w:r>
      <w:r w:rsidR="00EA675C" w:rsidRPr="00CE636E">
        <w:rPr>
          <w:rFonts w:eastAsia="OTNEJMScalaSansLF" w:cs="OTNEJMScalaSansLF"/>
          <w:sz w:val="22"/>
          <w:szCs w:val="22"/>
        </w:rPr>
        <w:t xml:space="preserve"> </w:t>
      </w:r>
      <w:r w:rsidR="009C621B" w:rsidRPr="00CE636E">
        <w:rPr>
          <w:rStyle w:val="EndnoteReference"/>
          <w:rFonts w:eastAsia="OTNEJMScalaSansLF" w:cs="OTNEJMScalaSansLF"/>
          <w:sz w:val="22"/>
          <w:szCs w:val="22"/>
        </w:rPr>
        <w:endnoteReference w:id="8"/>
      </w:r>
      <w:r w:rsidR="00EA675C" w:rsidRPr="00CE636E">
        <w:rPr>
          <w:rFonts w:eastAsia="OTNEJMScalaSansLF" w:cs="OTNEJMScalaSansLF"/>
          <w:sz w:val="22"/>
          <w:szCs w:val="22"/>
        </w:rPr>
        <w:t>et al. (2007</w:t>
      </w:r>
      <w:r w:rsidR="009C22AA" w:rsidRPr="00CE636E">
        <w:rPr>
          <w:sz w:val="22"/>
          <w:szCs w:val="22"/>
        </w:rPr>
        <w:t xml:space="preserve">) </w:t>
      </w:r>
      <w:r w:rsidR="00EA675C" w:rsidRPr="00CE636E">
        <w:rPr>
          <w:sz w:val="22"/>
          <w:szCs w:val="22"/>
        </w:rPr>
        <w:t>conducted a</w:t>
      </w:r>
      <w:r w:rsidR="003752C6" w:rsidRPr="00CE636E">
        <w:rPr>
          <w:sz w:val="22"/>
          <w:szCs w:val="22"/>
        </w:rPr>
        <w:t xml:space="preserve"> </w:t>
      </w:r>
      <w:r w:rsidR="009C22AA" w:rsidRPr="00CE636E">
        <w:rPr>
          <w:sz w:val="22"/>
          <w:szCs w:val="22"/>
        </w:rPr>
        <w:t>case–control study of 10</w:t>
      </w:r>
      <w:r w:rsidR="00EA675C" w:rsidRPr="00CE636E">
        <w:rPr>
          <w:sz w:val="22"/>
          <w:szCs w:val="22"/>
        </w:rPr>
        <w:t xml:space="preserve">0 patients with newly diagnosed </w:t>
      </w:r>
      <w:r w:rsidR="009C22AA" w:rsidRPr="00CE636E">
        <w:rPr>
          <w:sz w:val="22"/>
          <w:szCs w:val="22"/>
        </w:rPr>
        <w:t>oropharyngeal cancer and 200 control pati</w:t>
      </w:r>
      <w:r w:rsidR="00CE636E" w:rsidRPr="00CE636E">
        <w:rPr>
          <w:sz w:val="22"/>
          <w:szCs w:val="22"/>
        </w:rPr>
        <w:t xml:space="preserve">ents without cancer to evaluate </w:t>
      </w:r>
      <w:r w:rsidR="009C22AA" w:rsidRPr="00CE636E">
        <w:rPr>
          <w:sz w:val="22"/>
          <w:szCs w:val="22"/>
        </w:rPr>
        <w:t>associations between HPV infection</w:t>
      </w:r>
      <w:r w:rsidR="00D8698F" w:rsidRPr="00CE636E">
        <w:rPr>
          <w:sz w:val="22"/>
          <w:szCs w:val="22"/>
        </w:rPr>
        <w:t xml:space="preserve"> (genital warts)</w:t>
      </w:r>
      <w:r w:rsidR="009C22AA" w:rsidRPr="00CE636E">
        <w:rPr>
          <w:sz w:val="22"/>
          <w:szCs w:val="22"/>
        </w:rPr>
        <w:t xml:space="preserve"> and oropharyngeal cancer. Multivariate logistic</w:t>
      </w:r>
      <w:r w:rsidR="00EA675C" w:rsidRPr="00CE636E">
        <w:rPr>
          <w:sz w:val="22"/>
          <w:szCs w:val="22"/>
        </w:rPr>
        <w:t xml:space="preserve"> </w:t>
      </w:r>
      <w:r w:rsidR="00D8698F" w:rsidRPr="00CE636E">
        <w:rPr>
          <w:sz w:val="22"/>
          <w:szCs w:val="22"/>
        </w:rPr>
        <w:t xml:space="preserve">regression </w:t>
      </w:r>
      <w:r w:rsidR="009C22AA" w:rsidRPr="00CE636E">
        <w:rPr>
          <w:sz w:val="22"/>
          <w:szCs w:val="22"/>
        </w:rPr>
        <w:t xml:space="preserve">models were used </w:t>
      </w:r>
      <w:r w:rsidR="00EA675C" w:rsidRPr="00CE636E">
        <w:rPr>
          <w:sz w:val="22"/>
          <w:szCs w:val="22"/>
        </w:rPr>
        <w:t xml:space="preserve">for case–control comparisons. People who had one to five oral </w:t>
      </w:r>
      <w:r w:rsidR="009C22AA" w:rsidRPr="00CE636E">
        <w:rPr>
          <w:sz w:val="22"/>
          <w:szCs w:val="22"/>
        </w:rPr>
        <w:t>sex partners in their lifetime had approximately a doubled risk of throat cancer compared with those who never engaged in this activity.</w:t>
      </w:r>
      <w:r w:rsidR="00E931A4">
        <w:rPr>
          <w:sz w:val="22"/>
          <w:szCs w:val="22"/>
        </w:rPr>
        <w:t xml:space="preserve"> </w:t>
      </w:r>
      <w:r w:rsidR="009C22AA" w:rsidRPr="00CE636E">
        <w:rPr>
          <w:sz w:val="22"/>
          <w:szCs w:val="22"/>
        </w:rPr>
        <w:t>A person with 6 or more lifetime oral sex partners w</w:t>
      </w:r>
      <w:r w:rsidR="00EA675C" w:rsidRPr="00CE636E">
        <w:rPr>
          <w:sz w:val="22"/>
          <w:szCs w:val="22"/>
        </w:rPr>
        <w:t>as</w:t>
      </w:r>
      <w:r w:rsidR="009C22AA" w:rsidRPr="00CE636E">
        <w:rPr>
          <w:sz w:val="22"/>
          <w:szCs w:val="22"/>
        </w:rPr>
        <w:t xml:space="preserve"> 3.4 times more likely to have oropharyngeal cancer. Oropharyngeal cancer was significantly associated with oral HPV type 16 infection.</w:t>
      </w:r>
    </w:p>
    <w:p w14:paraId="52410106" w14:textId="3C2A0CA4" w:rsidR="005977E4" w:rsidRPr="00CE636E" w:rsidRDefault="008B5A62" w:rsidP="00F4298C">
      <w:pPr>
        <w:spacing w:before="240"/>
        <w:rPr>
          <w:b/>
          <w:sz w:val="22"/>
          <w:szCs w:val="22"/>
          <w:u w:val="single"/>
        </w:rPr>
      </w:pPr>
      <w:r w:rsidRPr="00CE636E">
        <w:rPr>
          <w:sz w:val="22"/>
          <w:szCs w:val="22"/>
        </w:rPr>
        <w:t xml:space="preserve">A report by the Centers for Disease Control and Prevention </w:t>
      </w:r>
      <w:r w:rsidRPr="00CE636E">
        <w:rPr>
          <w:rStyle w:val="EndnoteReference"/>
          <w:sz w:val="22"/>
          <w:szCs w:val="22"/>
        </w:rPr>
        <w:endnoteReference w:id="9"/>
      </w:r>
      <w:r w:rsidRPr="00CE636E">
        <w:rPr>
          <w:sz w:val="22"/>
          <w:szCs w:val="22"/>
        </w:rPr>
        <w:t xml:space="preserve"> (C</w:t>
      </w:r>
      <w:r w:rsidR="005977E4" w:rsidRPr="00CE636E">
        <w:rPr>
          <w:sz w:val="22"/>
          <w:szCs w:val="22"/>
        </w:rPr>
        <w:t>DC</w:t>
      </w:r>
      <w:r w:rsidRPr="00CE636E">
        <w:rPr>
          <w:sz w:val="22"/>
          <w:szCs w:val="22"/>
        </w:rPr>
        <w:t xml:space="preserve">, 2009) </w:t>
      </w:r>
      <w:r w:rsidR="00377AE5" w:rsidRPr="00CE636E">
        <w:rPr>
          <w:sz w:val="22"/>
          <w:szCs w:val="22"/>
        </w:rPr>
        <w:t xml:space="preserve">discusses how </w:t>
      </w:r>
      <w:r w:rsidRPr="00CE636E">
        <w:rPr>
          <w:sz w:val="22"/>
          <w:szCs w:val="22"/>
        </w:rPr>
        <w:t xml:space="preserve">the </w:t>
      </w:r>
      <w:r w:rsidR="00237583" w:rsidRPr="00CE636E">
        <w:rPr>
          <w:sz w:val="22"/>
          <w:szCs w:val="22"/>
        </w:rPr>
        <w:t xml:space="preserve">risk of HIV transmission from an infected partner through oral sex is much less than the risk of HIV transmission from anal or vaginal sex. </w:t>
      </w:r>
      <w:r w:rsidR="00377AE5" w:rsidRPr="00CE636E">
        <w:rPr>
          <w:sz w:val="22"/>
          <w:szCs w:val="22"/>
        </w:rPr>
        <w:t>The report notes that me</w:t>
      </w:r>
      <w:r w:rsidR="00237583" w:rsidRPr="00CE636E">
        <w:rPr>
          <w:sz w:val="22"/>
          <w:szCs w:val="22"/>
        </w:rPr>
        <w:t xml:space="preserve">asuring the exact risk of HIV transmission as a result </w:t>
      </w:r>
      <w:r w:rsidR="00377AE5" w:rsidRPr="00CE636E">
        <w:rPr>
          <w:sz w:val="22"/>
          <w:szCs w:val="22"/>
        </w:rPr>
        <w:t xml:space="preserve">of oral sex is very difficult </w:t>
      </w:r>
      <w:r w:rsidR="00237583" w:rsidRPr="00CE636E">
        <w:rPr>
          <w:sz w:val="22"/>
          <w:szCs w:val="22"/>
        </w:rPr>
        <w:t>because most sexually active individuals practice oral sex in addition to other forms of sex, such as vaginal and/or anal sex, w</w:t>
      </w:r>
      <w:r w:rsidR="00377AE5" w:rsidRPr="00CE636E">
        <w:rPr>
          <w:sz w:val="22"/>
          <w:szCs w:val="22"/>
        </w:rPr>
        <w:t>hich makes it difficult to determine the mode of transmission. S</w:t>
      </w:r>
      <w:r w:rsidR="00237583" w:rsidRPr="00CE636E">
        <w:rPr>
          <w:sz w:val="22"/>
          <w:szCs w:val="22"/>
        </w:rPr>
        <w:t>everal co-factors may</w:t>
      </w:r>
      <w:r w:rsidR="00377AE5" w:rsidRPr="00CE636E">
        <w:rPr>
          <w:sz w:val="22"/>
          <w:szCs w:val="22"/>
        </w:rPr>
        <w:t xml:space="preserve"> also</w:t>
      </w:r>
      <w:r w:rsidR="00237583" w:rsidRPr="00CE636E">
        <w:rPr>
          <w:sz w:val="22"/>
          <w:szCs w:val="22"/>
        </w:rPr>
        <w:t xml:space="preserve"> increase the risk of HIV transmission through oral sex, including: oral ulcers, bleeding gums, genital sores, and the presence of other STDs. What is known is that HIV has been transmitted through fellatio, cunnilingus, and anilingus</w:t>
      </w:r>
      <w:r w:rsidR="00377AE5" w:rsidRPr="00CE636E">
        <w:rPr>
          <w:sz w:val="22"/>
          <w:szCs w:val="22"/>
        </w:rPr>
        <w:t>.</w:t>
      </w:r>
      <w:r w:rsidR="00E931A4">
        <w:rPr>
          <w:sz w:val="22"/>
          <w:szCs w:val="22"/>
        </w:rPr>
        <w:t xml:space="preserve"> </w:t>
      </w:r>
      <w:r w:rsidR="005977E4" w:rsidRPr="00CE636E">
        <w:rPr>
          <w:sz w:val="22"/>
          <w:szCs w:val="22"/>
        </w:rPr>
        <w:t>In addition to HIV, other STDs can be transmitted through oral sex with an infected partner. Examples of these STDs include herpes, syphilis, gonorrhea, genital warts (HPV), intestinal parasites (amebiasis), and hepatitis A.</w:t>
      </w:r>
    </w:p>
    <w:p w14:paraId="22D12BC8" w14:textId="77777777" w:rsidR="00D2229A" w:rsidRPr="00CE636E" w:rsidRDefault="008E7B66" w:rsidP="005977E4">
      <w:pPr>
        <w:pStyle w:val="NormalWeb"/>
        <w:rPr>
          <w:rFonts w:ascii="Times New Roman" w:hAnsi="Times New Roman" w:cs="Times New Roman"/>
          <w:sz w:val="22"/>
          <w:szCs w:val="22"/>
        </w:rPr>
      </w:pPr>
      <w:r w:rsidRPr="00CE636E">
        <w:rPr>
          <w:rFonts w:ascii="Times New Roman" w:hAnsi="Times New Roman" w:cs="Times New Roman"/>
          <w:sz w:val="22"/>
          <w:szCs w:val="22"/>
        </w:rPr>
        <w:t>The</w:t>
      </w:r>
      <w:r w:rsidR="005977E4" w:rsidRPr="00CE636E">
        <w:rPr>
          <w:rFonts w:ascii="Times New Roman" w:hAnsi="Times New Roman" w:cs="Times New Roman"/>
          <w:sz w:val="22"/>
          <w:szCs w:val="22"/>
        </w:rPr>
        <w:t xml:space="preserve"> use of a physical barrier during oral sex can reduce the risk of transmission of HIV and other STDs. A latex or plastic condom may be used on the penis to reduce the risk of oral-penile transmission. If </w:t>
      </w:r>
      <w:r w:rsidR="00D2229A" w:rsidRPr="00CE636E">
        <w:rPr>
          <w:rFonts w:ascii="Times New Roman" w:hAnsi="Times New Roman" w:cs="Times New Roman"/>
          <w:sz w:val="22"/>
          <w:szCs w:val="22"/>
        </w:rPr>
        <w:t>the</w:t>
      </w:r>
      <w:r w:rsidR="005977E4" w:rsidRPr="00CE636E">
        <w:rPr>
          <w:rFonts w:ascii="Times New Roman" w:hAnsi="Times New Roman" w:cs="Times New Roman"/>
          <w:sz w:val="22"/>
          <w:szCs w:val="22"/>
        </w:rPr>
        <w:t xml:space="preserve"> partner is a female, a cut-open condom or a dental dam can be used between </w:t>
      </w:r>
      <w:r w:rsidR="00D2229A" w:rsidRPr="00CE636E">
        <w:rPr>
          <w:rFonts w:ascii="Times New Roman" w:hAnsi="Times New Roman" w:cs="Times New Roman"/>
          <w:sz w:val="22"/>
          <w:szCs w:val="22"/>
        </w:rPr>
        <w:t>the</w:t>
      </w:r>
      <w:r w:rsidR="005977E4" w:rsidRPr="00CE636E">
        <w:rPr>
          <w:rFonts w:ascii="Times New Roman" w:hAnsi="Times New Roman" w:cs="Times New Roman"/>
          <w:sz w:val="22"/>
          <w:szCs w:val="22"/>
        </w:rPr>
        <w:t xml:space="preserve"> mouth and the vagina. Similarly, regardless of the sex of </w:t>
      </w:r>
      <w:r w:rsidR="00D2229A" w:rsidRPr="00CE636E">
        <w:rPr>
          <w:rFonts w:ascii="Times New Roman" w:hAnsi="Times New Roman" w:cs="Times New Roman"/>
          <w:sz w:val="22"/>
          <w:szCs w:val="22"/>
        </w:rPr>
        <w:t xml:space="preserve">one’s </w:t>
      </w:r>
      <w:r w:rsidR="005977E4" w:rsidRPr="00CE636E">
        <w:rPr>
          <w:rFonts w:ascii="Times New Roman" w:hAnsi="Times New Roman" w:cs="Times New Roman"/>
          <w:sz w:val="22"/>
          <w:szCs w:val="22"/>
        </w:rPr>
        <w:t xml:space="preserve">partner, if </w:t>
      </w:r>
      <w:r w:rsidR="00D2229A" w:rsidRPr="00CE636E">
        <w:rPr>
          <w:rFonts w:ascii="Times New Roman" w:hAnsi="Times New Roman" w:cs="Times New Roman"/>
          <w:sz w:val="22"/>
          <w:szCs w:val="22"/>
        </w:rPr>
        <w:t xml:space="preserve">the </w:t>
      </w:r>
      <w:r w:rsidR="005977E4" w:rsidRPr="00CE636E">
        <w:rPr>
          <w:rFonts w:ascii="Times New Roman" w:hAnsi="Times New Roman" w:cs="Times New Roman"/>
          <w:sz w:val="22"/>
          <w:szCs w:val="22"/>
        </w:rPr>
        <w:t xml:space="preserve">mouth will come in contact with </w:t>
      </w:r>
      <w:r w:rsidR="00D2229A" w:rsidRPr="00CE636E">
        <w:rPr>
          <w:rFonts w:ascii="Times New Roman" w:hAnsi="Times New Roman" w:cs="Times New Roman"/>
          <w:sz w:val="22"/>
          <w:szCs w:val="22"/>
        </w:rPr>
        <w:t xml:space="preserve">the </w:t>
      </w:r>
      <w:r w:rsidR="005977E4" w:rsidRPr="00CE636E">
        <w:rPr>
          <w:rFonts w:ascii="Times New Roman" w:hAnsi="Times New Roman" w:cs="Times New Roman"/>
          <w:sz w:val="22"/>
          <w:szCs w:val="22"/>
        </w:rPr>
        <w:t>partner’s anus, a cut-open co</w:t>
      </w:r>
      <w:r w:rsidR="00D2229A" w:rsidRPr="00CE636E">
        <w:rPr>
          <w:rFonts w:ascii="Times New Roman" w:hAnsi="Times New Roman" w:cs="Times New Roman"/>
          <w:sz w:val="22"/>
          <w:szCs w:val="22"/>
        </w:rPr>
        <w:t xml:space="preserve">ndom or dental dam can be used to create a </w:t>
      </w:r>
      <w:r w:rsidRPr="00CE636E">
        <w:rPr>
          <w:rFonts w:ascii="Times New Roman" w:hAnsi="Times New Roman" w:cs="Times New Roman"/>
          <w:sz w:val="22"/>
          <w:szCs w:val="22"/>
        </w:rPr>
        <w:t>b</w:t>
      </w:r>
      <w:r w:rsidR="00D2229A" w:rsidRPr="00CE636E">
        <w:rPr>
          <w:rFonts w:ascii="Times New Roman" w:hAnsi="Times New Roman" w:cs="Times New Roman"/>
          <w:sz w:val="22"/>
          <w:szCs w:val="22"/>
        </w:rPr>
        <w:t>arrier for reducing contact with fecal pathogens.</w:t>
      </w:r>
    </w:p>
    <w:p w14:paraId="4D896103" w14:textId="05DE0D71" w:rsidR="00D53859" w:rsidRPr="00CE636E" w:rsidRDefault="00D3313F" w:rsidP="00B21342">
      <w:pPr>
        <w:pStyle w:val="Heading2"/>
      </w:pPr>
      <w:r w:rsidRPr="00CE636E">
        <w:t>Medical services recommendations to mitigate STD/HIV risks</w:t>
      </w:r>
    </w:p>
    <w:p w14:paraId="2A5B8343" w14:textId="2F07DD28" w:rsidR="00383DF3" w:rsidRPr="00FB22DA" w:rsidRDefault="00383DF3" w:rsidP="000A6768">
      <w:pPr>
        <w:rPr>
          <w:sz w:val="22"/>
          <w:szCs w:val="22"/>
        </w:rPr>
      </w:pPr>
      <w:r w:rsidRPr="00CE636E">
        <w:rPr>
          <w:sz w:val="22"/>
          <w:szCs w:val="22"/>
        </w:rPr>
        <w:t xml:space="preserve">The </w:t>
      </w:r>
      <w:r w:rsidR="008E7B66" w:rsidRPr="00CE636E">
        <w:rPr>
          <w:sz w:val="22"/>
          <w:szCs w:val="22"/>
        </w:rPr>
        <w:t xml:space="preserve">County of Los Angeles </w:t>
      </w:r>
      <w:r w:rsidRPr="00CE636E">
        <w:rPr>
          <w:sz w:val="22"/>
          <w:szCs w:val="22"/>
        </w:rPr>
        <w:t xml:space="preserve">Department </w:t>
      </w:r>
      <w:r w:rsidR="008E7B66" w:rsidRPr="00CE636E">
        <w:rPr>
          <w:sz w:val="22"/>
          <w:szCs w:val="22"/>
        </w:rPr>
        <w:t xml:space="preserve">of Public Health </w:t>
      </w:r>
      <w:r w:rsidRPr="00CE636E">
        <w:rPr>
          <w:sz w:val="22"/>
          <w:szCs w:val="22"/>
        </w:rPr>
        <w:t xml:space="preserve">recommends the following medical monitoring practices to reduce the acquisition and transmission of STDs and HIV </w:t>
      </w:r>
      <w:r w:rsidR="008E7B66" w:rsidRPr="00CE636E">
        <w:rPr>
          <w:sz w:val="22"/>
          <w:szCs w:val="22"/>
        </w:rPr>
        <w:t>among performers in the adult film industry</w:t>
      </w:r>
      <w:r w:rsidR="00FB22DA">
        <w:rPr>
          <w:sz w:val="22"/>
          <w:szCs w:val="22"/>
        </w:rPr>
        <w:t>.</w:t>
      </w:r>
      <w:r w:rsidR="00E931A4">
        <w:rPr>
          <w:sz w:val="22"/>
          <w:szCs w:val="22"/>
        </w:rPr>
        <w:t xml:space="preserve"> </w:t>
      </w:r>
    </w:p>
    <w:p w14:paraId="13C76CA5" w14:textId="77777777" w:rsidR="00D53859" w:rsidRPr="00427B37" w:rsidRDefault="00383DF3" w:rsidP="00427B37">
      <w:pPr>
        <w:pStyle w:val="ListParagraph"/>
        <w:numPr>
          <w:ilvl w:val="0"/>
          <w:numId w:val="31"/>
        </w:numPr>
        <w:ind w:left="1080"/>
        <w:contextualSpacing w:val="0"/>
        <w:rPr>
          <w:sz w:val="22"/>
          <w:szCs w:val="22"/>
        </w:rPr>
      </w:pPr>
      <w:r w:rsidRPr="00427B37">
        <w:rPr>
          <w:sz w:val="22"/>
          <w:szCs w:val="22"/>
        </w:rPr>
        <w:t>Hepatitis A and B v</w:t>
      </w:r>
      <w:r w:rsidR="00D53859" w:rsidRPr="00427B37">
        <w:rPr>
          <w:sz w:val="22"/>
          <w:szCs w:val="22"/>
        </w:rPr>
        <w:t>accination</w:t>
      </w:r>
      <w:r w:rsidRPr="00427B37">
        <w:rPr>
          <w:sz w:val="22"/>
          <w:szCs w:val="22"/>
        </w:rPr>
        <w:t xml:space="preserve"> prior to first shoot;</w:t>
      </w:r>
      <w:r w:rsidR="00D53859" w:rsidRPr="00427B37">
        <w:rPr>
          <w:sz w:val="22"/>
          <w:szCs w:val="22"/>
        </w:rPr>
        <w:t xml:space="preserve"> </w:t>
      </w:r>
    </w:p>
    <w:p w14:paraId="649FBE78" w14:textId="77777777" w:rsidR="00D53859" w:rsidRPr="00CE636E" w:rsidRDefault="00D53859" w:rsidP="00427B37">
      <w:pPr>
        <w:pStyle w:val="ListParagraph"/>
        <w:numPr>
          <w:ilvl w:val="0"/>
          <w:numId w:val="31"/>
        </w:numPr>
        <w:ind w:left="1080"/>
        <w:contextualSpacing w:val="0"/>
        <w:rPr>
          <w:sz w:val="22"/>
          <w:szCs w:val="22"/>
        </w:rPr>
      </w:pPr>
      <w:r w:rsidRPr="00CE636E">
        <w:rPr>
          <w:sz w:val="22"/>
          <w:szCs w:val="22"/>
        </w:rPr>
        <w:t>Periodic</w:t>
      </w:r>
      <w:r w:rsidR="00383DF3" w:rsidRPr="00CE636E">
        <w:rPr>
          <w:sz w:val="22"/>
          <w:szCs w:val="22"/>
        </w:rPr>
        <w:t xml:space="preserve"> STD/HIV</w:t>
      </w:r>
      <w:r w:rsidRPr="00CE636E">
        <w:rPr>
          <w:sz w:val="22"/>
          <w:szCs w:val="22"/>
        </w:rPr>
        <w:t xml:space="preserve"> screening</w:t>
      </w:r>
      <w:r w:rsidR="00383DF3" w:rsidRPr="00CE636E">
        <w:rPr>
          <w:sz w:val="22"/>
          <w:szCs w:val="22"/>
        </w:rPr>
        <w:t xml:space="preserve"> consistent with incubation periods, anatomic sites and performance characteristic of the diagnostic tests, i.e.,</w:t>
      </w:r>
    </w:p>
    <w:p w14:paraId="5F5AFB33" w14:textId="77777777" w:rsidR="004B7E1A" w:rsidRPr="00427B37" w:rsidRDefault="00383DF3" w:rsidP="00427B37">
      <w:pPr>
        <w:pStyle w:val="ListParagraph"/>
        <w:numPr>
          <w:ilvl w:val="1"/>
          <w:numId w:val="16"/>
        </w:numPr>
        <w:rPr>
          <w:sz w:val="22"/>
          <w:szCs w:val="22"/>
        </w:rPr>
      </w:pPr>
      <w:r w:rsidRPr="00427B37">
        <w:rPr>
          <w:color w:val="000000"/>
          <w:sz w:val="22"/>
          <w:szCs w:val="22"/>
        </w:rPr>
        <w:t xml:space="preserve">Screening for </w:t>
      </w:r>
      <w:r w:rsidR="004B7E1A" w:rsidRPr="00427B37">
        <w:rPr>
          <w:sz w:val="22"/>
          <w:szCs w:val="22"/>
        </w:rPr>
        <w:t xml:space="preserve">urethral, vaginal, and rectal chlamydia </w:t>
      </w:r>
    </w:p>
    <w:p w14:paraId="4063CC2A" w14:textId="77777777" w:rsidR="00383DF3" w:rsidRPr="00CE636E" w:rsidRDefault="00383DF3" w:rsidP="00427B37">
      <w:pPr>
        <w:pStyle w:val="ListParagraph"/>
        <w:numPr>
          <w:ilvl w:val="1"/>
          <w:numId w:val="16"/>
        </w:numPr>
        <w:rPr>
          <w:sz w:val="22"/>
          <w:szCs w:val="22"/>
        </w:rPr>
      </w:pPr>
      <w:r w:rsidRPr="00CE636E">
        <w:rPr>
          <w:color w:val="000000"/>
          <w:sz w:val="22"/>
          <w:szCs w:val="22"/>
        </w:rPr>
        <w:t xml:space="preserve">Screening for </w:t>
      </w:r>
      <w:r w:rsidR="004B7E1A" w:rsidRPr="00CE636E">
        <w:rPr>
          <w:sz w:val="22"/>
          <w:szCs w:val="22"/>
        </w:rPr>
        <w:t>urethral, vaginal, rectal and oral-pharyngeal gonorrhea</w:t>
      </w:r>
    </w:p>
    <w:p w14:paraId="4F9C2BAB" w14:textId="77777777" w:rsidR="00383DF3" w:rsidRPr="00CE636E" w:rsidRDefault="00383DF3" w:rsidP="00427B37">
      <w:pPr>
        <w:pStyle w:val="ListParagraph"/>
        <w:numPr>
          <w:ilvl w:val="1"/>
          <w:numId w:val="16"/>
        </w:numPr>
        <w:rPr>
          <w:sz w:val="22"/>
          <w:szCs w:val="22"/>
        </w:rPr>
      </w:pPr>
      <w:r w:rsidRPr="00CE636E">
        <w:rPr>
          <w:color w:val="000000"/>
          <w:sz w:val="22"/>
          <w:szCs w:val="22"/>
        </w:rPr>
        <w:t>Screening for HIV</w:t>
      </w:r>
    </w:p>
    <w:p w14:paraId="354412BE" w14:textId="6F75B70D" w:rsidR="00383DF3" w:rsidRPr="00CE636E" w:rsidRDefault="00383DF3" w:rsidP="00427B37">
      <w:pPr>
        <w:pStyle w:val="ListParagraph"/>
        <w:numPr>
          <w:ilvl w:val="1"/>
          <w:numId w:val="16"/>
        </w:numPr>
        <w:rPr>
          <w:sz w:val="22"/>
          <w:szCs w:val="22"/>
        </w:rPr>
      </w:pPr>
      <w:r w:rsidRPr="00CE636E">
        <w:rPr>
          <w:color w:val="000000"/>
          <w:sz w:val="22"/>
          <w:szCs w:val="22"/>
        </w:rPr>
        <w:t>Screening for HPV</w:t>
      </w:r>
    </w:p>
    <w:p w14:paraId="0F8FD1C7" w14:textId="77777777" w:rsidR="00D53859" w:rsidRDefault="00D53859" w:rsidP="00427B37">
      <w:pPr>
        <w:pStyle w:val="ListParagraph"/>
        <w:numPr>
          <w:ilvl w:val="0"/>
          <w:numId w:val="31"/>
        </w:numPr>
        <w:ind w:left="1080"/>
        <w:contextualSpacing w:val="0"/>
        <w:rPr>
          <w:sz w:val="22"/>
          <w:szCs w:val="22"/>
        </w:rPr>
      </w:pPr>
      <w:r w:rsidRPr="00CE636E">
        <w:rPr>
          <w:sz w:val="22"/>
          <w:szCs w:val="22"/>
        </w:rPr>
        <w:t>Post exposure</w:t>
      </w:r>
      <w:r w:rsidR="00383DF3" w:rsidRPr="00CE636E">
        <w:rPr>
          <w:sz w:val="22"/>
          <w:szCs w:val="22"/>
        </w:rPr>
        <w:t xml:space="preserve"> prophylaxis for Hepatitis B and HIV</w:t>
      </w:r>
      <w:r w:rsidR="008E7B66" w:rsidRPr="00CE636E">
        <w:rPr>
          <w:sz w:val="22"/>
          <w:szCs w:val="22"/>
        </w:rPr>
        <w:t xml:space="preserve"> exposure</w:t>
      </w:r>
    </w:p>
    <w:p w14:paraId="1D05E794" w14:textId="583E8F01" w:rsidR="00783F10" w:rsidRPr="00FB22DA" w:rsidRDefault="00783F10" w:rsidP="00CF4E23">
      <w:pPr>
        <w:spacing w:before="240" w:after="240"/>
        <w:rPr>
          <w:sz w:val="22"/>
          <w:szCs w:val="22"/>
        </w:rPr>
      </w:pPr>
      <w:r>
        <w:rPr>
          <w:sz w:val="22"/>
          <w:szCs w:val="22"/>
        </w:rPr>
        <w:t>These recommendations are based on t</w:t>
      </w:r>
      <w:r w:rsidRPr="00FB22DA">
        <w:rPr>
          <w:sz w:val="22"/>
          <w:szCs w:val="22"/>
        </w:rPr>
        <w:t>he CDC</w:t>
      </w:r>
      <w:r>
        <w:rPr>
          <w:sz w:val="22"/>
          <w:szCs w:val="22"/>
        </w:rPr>
        <w:t xml:space="preserve">’s recommendation for </w:t>
      </w:r>
      <w:r w:rsidRPr="00FB22DA">
        <w:rPr>
          <w:sz w:val="22"/>
          <w:szCs w:val="22"/>
        </w:rPr>
        <w:t>screening rectal and pharyngeal anatomical sites for gonorrhea and chlamydia because often these infections are asymptomatic.</w:t>
      </w:r>
      <w:r w:rsidRPr="00FB22DA">
        <w:rPr>
          <w:rStyle w:val="EndnoteReference"/>
          <w:sz w:val="22"/>
          <w:szCs w:val="22"/>
        </w:rPr>
        <w:endnoteReference w:id="10"/>
      </w:r>
      <w:r w:rsidR="00E931A4">
        <w:rPr>
          <w:sz w:val="22"/>
          <w:szCs w:val="22"/>
        </w:rPr>
        <w:t xml:space="preserve"> </w:t>
      </w:r>
      <w:r w:rsidRPr="00FB22DA">
        <w:rPr>
          <w:sz w:val="22"/>
          <w:szCs w:val="22"/>
        </w:rPr>
        <w:t>Besides the recognized negative long term health outcomes, asymptomatic performers are likely to unknowingly infect their professional and personal sexual partners.</w:t>
      </w:r>
    </w:p>
    <w:sectPr w:rsidR="00783F10" w:rsidRPr="00FB22DA" w:rsidSect="00E87A6B">
      <w:headerReference w:type="even" r:id="rId7"/>
      <w:headerReference w:type="default" r:id="rId8"/>
      <w:footnotePr>
        <w:pos w:val="beneathText"/>
      </w:footnotePr>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7445" w14:textId="77777777" w:rsidR="00B00C26" w:rsidRDefault="00B00C26">
      <w:r>
        <w:separator/>
      </w:r>
    </w:p>
  </w:endnote>
  <w:endnote w:type="continuationSeparator" w:id="0">
    <w:p w14:paraId="7401425B" w14:textId="77777777" w:rsidR="00B00C26" w:rsidRDefault="00B00C26">
      <w:r>
        <w:continuationSeparator/>
      </w:r>
    </w:p>
  </w:endnote>
  <w:endnote w:id="1">
    <w:p w14:paraId="1E089B26" w14:textId="59745959" w:rsidR="00E87A6B" w:rsidRPr="00797A8E" w:rsidRDefault="00E87A6B" w:rsidP="00056C97">
      <w:pPr>
        <w:pStyle w:val="EndnoteText"/>
      </w:pPr>
      <w:r w:rsidRPr="00797A8E">
        <w:rPr>
          <w:rStyle w:val="EndnoteReference"/>
        </w:rPr>
        <w:endnoteRef/>
      </w:r>
      <w:r w:rsidRPr="00797A8E">
        <w:t xml:space="preserve"> </w:t>
      </w:r>
      <w:smartTag w:uri="urn:schemas-microsoft-com:office:smarttags" w:element="place">
        <w:smartTag w:uri="urn:schemas-microsoft-com:office:smarttags" w:element="State">
          <w:r w:rsidRPr="00797A8E">
            <w:t>California</w:t>
          </w:r>
        </w:smartTag>
      </w:smartTag>
      <w:r w:rsidRPr="00797A8E">
        <w:t xml:space="preserve"> Code of Regulations, Title 8, </w:t>
      </w:r>
      <w:r w:rsidRPr="00797A8E">
        <w:rPr>
          <w:i/>
        </w:rPr>
        <w:t>§5193.</w:t>
      </w:r>
      <w:r w:rsidR="00E931A4">
        <w:t xml:space="preserve"> </w:t>
      </w:r>
      <w:r w:rsidRPr="00797A8E">
        <w:t>Bloodborne Pathogens.</w:t>
      </w:r>
      <w:r w:rsidR="00E931A4">
        <w:t xml:space="preserve"> </w:t>
      </w:r>
      <w:r>
        <w:t xml:space="preserve">Retrieved on September 4, 2010, from </w:t>
      </w:r>
      <w:hyperlink r:id="rId1" w:history="1">
        <w:r w:rsidRPr="00E17211">
          <w:rPr>
            <w:rStyle w:val="Hyperlink"/>
          </w:rPr>
          <w:t>http://www.dir.ca.gov/title8/5193.HTML</w:t>
        </w:r>
      </w:hyperlink>
    </w:p>
    <w:p w14:paraId="4B34C118" w14:textId="77777777" w:rsidR="00E87A6B" w:rsidRPr="00B76216" w:rsidRDefault="00E87A6B" w:rsidP="00056C97">
      <w:pPr>
        <w:pStyle w:val="EndnoteText"/>
      </w:pPr>
    </w:p>
  </w:endnote>
  <w:endnote w:id="2">
    <w:p w14:paraId="41E089B7" w14:textId="77777777" w:rsidR="00E87A6B" w:rsidRDefault="00E87A6B">
      <w:pPr>
        <w:pStyle w:val="EndnoteText"/>
      </w:pPr>
      <w:r>
        <w:rPr>
          <w:rStyle w:val="EndnoteReference"/>
        </w:rPr>
        <w:endnoteRef/>
      </w:r>
      <w:r>
        <w:t xml:space="preserve"> </w:t>
      </w:r>
      <w:r w:rsidRPr="00B84EA5">
        <w:t xml:space="preserve">Statement by Robert Kim Farley, MD, MPH to the </w:t>
      </w:r>
      <w:smartTag w:uri="urn:schemas-microsoft-com:office:smarttags" w:element="place">
        <w:smartTag w:uri="urn:schemas-microsoft-com:office:smarttags" w:element="State">
          <w:r w:rsidRPr="00B84EA5">
            <w:t>California</w:t>
          </w:r>
        </w:smartTag>
      </w:smartTag>
      <w:r w:rsidRPr="00B84EA5">
        <w:t xml:space="preserve"> Occupational Safety and Health Advisory Committee Hearing</w:t>
      </w:r>
      <w:r>
        <w:t xml:space="preserve"> on Prevention and Control Measures</w:t>
      </w:r>
      <w:r w:rsidRPr="00B84EA5">
        <w:t xml:space="preserve">, </w:t>
      </w:r>
      <w:smartTag w:uri="urn:schemas-microsoft-com:office:smarttags" w:element="date">
        <w:smartTagPr>
          <w:attr w:name="Year" w:val="2010"/>
          <w:attr w:name="Day" w:val="29"/>
          <w:attr w:name="Month" w:val="6"/>
        </w:smartTagPr>
        <w:r w:rsidRPr="00B84EA5">
          <w:t>June 29, 2010</w:t>
        </w:r>
      </w:smartTag>
      <w:r w:rsidRPr="00B84EA5">
        <w:t>.</w:t>
      </w:r>
      <w:r>
        <w:t xml:space="preserve"> Retrieved on </w:t>
      </w:r>
      <w:smartTag w:uri="urn:schemas-microsoft-com:office:smarttags" w:element="date">
        <w:smartTagPr>
          <w:attr w:name="Year" w:val="2010"/>
          <w:attr w:name="Day" w:val="8"/>
          <w:attr w:name="Month" w:val="9"/>
        </w:smartTagPr>
        <w:r>
          <w:t>September 8, 2010</w:t>
        </w:r>
      </w:smartTag>
      <w:r>
        <w:t xml:space="preserve">, from </w:t>
      </w:r>
      <w:hyperlink r:id="rId2" w:history="1">
        <w:r w:rsidRPr="00E17211">
          <w:rPr>
            <w:rStyle w:val="Hyperlink"/>
          </w:rPr>
          <w:t>http://www.dir.ca.gov/dosh/DoshReg/5193-CommentsAndDocuments.htm</w:t>
        </w:r>
      </w:hyperlink>
    </w:p>
    <w:p w14:paraId="5E0FFCB5" w14:textId="77777777" w:rsidR="00E87A6B" w:rsidRDefault="00E87A6B">
      <w:pPr>
        <w:pStyle w:val="EndnoteText"/>
      </w:pPr>
    </w:p>
  </w:endnote>
  <w:endnote w:id="3">
    <w:p w14:paraId="265E93AE" w14:textId="77777777" w:rsidR="00E87A6B" w:rsidRDefault="00E87A6B" w:rsidP="003A6829">
      <w:pPr>
        <w:tabs>
          <w:tab w:val="left" w:pos="-900"/>
          <w:tab w:val="right" w:pos="-720"/>
        </w:tabs>
        <w:suppressAutoHyphens/>
        <w:rPr>
          <w:sz w:val="20"/>
          <w:szCs w:val="20"/>
        </w:rPr>
      </w:pPr>
      <w:r w:rsidRPr="00056C97">
        <w:rPr>
          <w:rStyle w:val="EndnoteReference"/>
          <w:sz w:val="22"/>
          <w:szCs w:val="22"/>
        </w:rPr>
        <w:endnoteRef/>
      </w:r>
      <w:r w:rsidRPr="003A6829">
        <w:rPr>
          <w:sz w:val="20"/>
          <w:szCs w:val="20"/>
        </w:rPr>
        <w:t xml:space="preserve"> Mitchell S. Committee on revenue and taxation informational hearing on AB 2914, </w:t>
      </w:r>
      <w:smartTag w:uri="urn:schemas-microsoft-com:office:smarttags" w:element="date">
        <w:smartTagPr>
          <w:attr w:name="Year" w:val="2008"/>
          <w:attr w:name="Day" w:val="8"/>
          <w:attr w:name="Month" w:val="5"/>
        </w:smartTagPr>
        <w:r w:rsidRPr="003A6829">
          <w:rPr>
            <w:sz w:val="20"/>
            <w:szCs w:val="20"/>
          </w:rPr>
          <w:t>May 8, 2008</w:t>
        </w:r>
      </w:smartTag>
      <w:r w:rsidRPr="003A6829">
        <w:rPr>
          <w:sz w:val="20"/>
          <w:szCs w:val="20"/>
        </w:rPr>
        <w:t>.</w:t>
      </w:r>
    </w:p>
    <w:p w14:paraId="15545195" w14:textId="77777777" w:rsidR="00E87A6B" w:rsidRPr="003A6829" w:rsidRDefault="00E87A6B" w:rsidP="003A6829">
      <w:pPr>
        <w:tabs>
          <w:tab w:val="left" w:pos="-900"/>
          <w:tab w:val="right" w:pos="-720"/>
        </w:tabs>
        <w:suppressAutoHyphens/>
        <w:rPr>
          <w:bCs/>
          <w:sz w:val="20"/>
          <w:szCs w:val="20"/>
        </w:rPr>
      </w:pPr>
    </w:p>
  </w:endnote>
  <w:endnote w:id="4">
    <w:p w14:paraId="5ECA6CA9" w14:textId="77777777" w:rsidR="00E87A6B" w:rsidRDefault="00E87A6B" w:rsidP="0024484B">
      <w:pPr>
        <w:pStyle w:val="EndnoteText"/>
      </w:pPr>
      <w:r>
        <w:rPr>
          <w:rStyle w:val="EndnoteReference"/>
        </w:rPr>
        <w:endnoteRef/>
      </w:r>
      <w:r>
        <w:t xml:space="preserve"> </w:t>
      </w:r>
      <w:r w:rsidRPr="00B84EA5">
        <w:t xml:space="preserve">Statement by Robert Kim Farley, MD, MPH to the </w:t>
      </w:r>
      <w:smartTag w:uri="urn:schemas-microsoft-com:office:smarttags" w:element="place">
        <w:smartTag w:uri="urn:schemas-microsoft-com:office:smarttags" w:element="State">
          <w:r w:rsidRPr="00B84EA5">
            <w:t>California</w:t>
          </w:r>
        </w:smartTag>
      </w:smartTag>
      <w:r w:rsidRPr="00B84EA5">
        <w:t xml:space="preserve"> Occupational Safety and Health Standards Board, </w:t>
      </w:r>
      <w:smartTag w:uri="urn:schemas-microsoft-com:office:smarttags" w:element="date">
        <w:smartTagPr>
          <w:attr w:name="Year" w:val="2010"/>
          <w:attr w:name="Day" w:val="18"/>
          <w:attr w:name="Month" w:val="3"/>
        </w:smartTagPr>
        <w:r w:rsidRPr="00B84EA5">
          <w:t>March 18, 2010</w:t>
        </w:r>
      </w:smartTag>
      <w:r w:rsidRPr="00B84EA5">
        <w:t>.</w:t>
      </w:r>
    </w:p>
    <w:p w14:paraId="16B77DB1" w14:textId="77777777" w:rsidR="00E87A6B" w:rsidRPr="00B84EA5" w:rsidRDefault="00E87A6B" w:rsidP="0024484B">
      <w:pPr>
        <w:pStyle w:val="EndnoteText"/>
      </w:pPr>
    </w:p>
  </w:endnote>
  <w:endnote w:id="5">
    <w:p w14:paraId="185DB12A" w14:textId="11283CC1" w:rsidR="00E87A6B" w:rsidRDefault="00E87A6B" w:rsidP="0024484B">
      <w:pPr>
        <w:autoSpaceDE w:val="0"/>
        <w:autoSpaceDN w:val="0"/>
        <w:adjustRightInd w:val="0"/>
        <w:rPr>
          <w:sz w:val="20"/>
          <w:szCs w:val="20"/>
        </w:rPr>
      </w:pPr>
      <w:r w:rsidRPr="00B84EA5">
        <w:rPr>
          <w:rStyle w:val="EndnoteReference"/>
          <w:sz w:val="20"/>
          <w:szCs w:val="20"/>
        </w:rPr>
        <w:endnoteRef/>
      </w:r>
      <w:r w:rsidRPr="00703707">
        <w:rPr>
          <w:sz w:val="20"/>
          <w:szCs w:val="20"/>
        </w:rPr>
        <w:t>Testimony by Jonathan Fielding, MD, MPH, California State Assembly Committee On Labor And Employment, Paul Koretz, Chair, "</w:t>
      </w:r>
      <w:r w:rsidRPr="00703707">
        <w:rPr>
          <w:i/>
          <w:iCs/>
          <w:sz w:val="20"/>
          <w:szCs w:val="20"/>
        </w:rPr>
        <w:t xml:space="preserve">Worker Health And Safety In The Adult Film Industry" </w:t>
      </w:r>
      <w:r w:rsidRPr="00703707">
        <w:rPr>
          <w:sz w:val="20"/>
          <w:szCs w:val="20"/>
        </w:rPr>
        <w:t xml:space="preserve">Post-Hearing Report. </w:t>
      </w:r>
      <w:r>
        <w:rPr>
          <w:sz w:val="20"/>
          <w:szCs w:val="20"/>
        </w:rPr>
        <w:t xml:space="preserve">Retrieved on August 15, 2010, from </w:t>
      </w:r>
      <w:hyperlink r:id="rId3" w:history="1">
        <w:r w:rsidRPr="00CC3D5F">
          <w:rPr>
            <w:rStyle w:val="Hyperlink"/>
            <w:sz w:val="20"/>
            <w:szCs w:val="20"/>
          </w:rPr>
          <w:t>http://web.nswp.org/pdf/CAL-ADULTFILM.PDF</w:t>
        </w:r>
      </w:hyperlink>
    </w:p>
    <w:p w14:paraId="5D626522" w14:textId="77777777" w:rsidR="00E87A6B" w:rsidRPr="00703707" w:rsidRDefault="00E87A6B" w:rsidP="0024484B">
      <w:pPr>
        <w:autoSpaceDE w:val="0"/>
        <w:autoSpaceDN w:val="0"/>
        <w:adjustRightInd w:val="0"/>
        <w:rPr>
          <w:sz w:val="20"/>
          <w:szCs w:val="20"/>
        </w:rPr>
      </w:pPr>
    </w:p>
  </w:endnote>
  <w:endnote w:id="6">
    <w:p w14:paraId="22CEB121" w14:textId="77777777" w:rsidR="00E87A6B" w:rsidRDefault="00E87A6B" w:rsidP="003A6829">
      <w:pPr>
        <w:suppressAutoHyphens/>
        <w:rPr>
          <w:sz w:val="20"/>
          <w:szCs w:val="20"/>
        </w:rPr>
      </w:pPr>
      <w:r w:rsidRPr="003A6829">
        <w:rPr>
          <w:rStyle w:val="EndnoteReference"/>
          <w:sz w:val="20"/>
          <w:szCs w:val="20"/>
        </w:rPr>
        <w:endnoteRef/>
      </w:r>
      <w:r w:rsidRPr="003A6829">
        <w:rPr>
          <w:sz w:val="20"/>
          <w:szCs w:val="20"/>
        </w:rPr>
        <w:t xml:space="preserve"> C</w:t>
      </w:r>
      <w:r>
        <w:rPr>
          <w:sz w:val="20"/>
          <w:szCs w:val="20"/>
        </w:rPr>
        <w:t xml:space="preserve">enters for </w:t>
      </w:r>
      <w:r w:rsidRPr="003A6829">
        <w:rPr>
          <w:sz w:val="20"/>
          <w:szCs w:val="20"/>
        </w:rPr>
        <w:t>D</w:t>
      </w:r>
      <w:r>
        <w:rPr>
          <w:sz w:val="20"/>
          <w:szCs w:val="20"/>
        </w:rPr>
        <w:t>isease Control and Prevention</w:t>
      </w:r>
      <w:r w:rsidRPr="003A6829">
        <w:rPr>
          <w:sz w:val="20"/>
          <w:szCs w:val="20"/>
        </w:rPr>
        <w:t>. HIV transmission in the adult film industry---</w:t>
      </w:r>
      <w:smartTag w:uri="urn:schemas-microsoft-com:office:smarttags" w:element="place">
        <w:smartTag w:uri="urn:schemas-microsoft-com:office:smarttags" w:element="City">
          <w:r w:rsidRPr="003A6829">
            <w:rPr>
              <w:sz w:val="20"/>
              <w:szCs w:val="20"/>
            </w:rPr>
            <w:t>Los Angeles</w:t>
          </w:r>
        </w:smartTag>
        <w:r w:rsidRPr="003A6829">
          <w:rPr>
            <w:sz w:val="20"/>
            <w:szCs w:val="20"/>
          </w:rPr>
          <w:t xml:space="preserve">, </w:t>
        </w:r>
        <w:smartTag w:uri="urn:schemas-microsoft-com:office:smarttags" w:element="State">
          <w:r w:rsidRPr="003A6829">
            <w:rPr>
              <w:sz w:val="20"/>
              <w:szCs w:val="20"/>
            </w:rPr>
            <w:t>California</w:t>
          </w:r>
        </w:smartTag>
      </w:smartTag>
      <w:r w:rsidRPr="003A6829">
        <w:rPr>
          <w:sz w:val="20"/>
          <w:szCs w:val="20"/>
        </w:rPr>
        <w:t>, 2004. MMWR 2005; 54:923-926.</w:t>
      </w:r>
    </w:p>
    <w:p w14:paraId="6E6E086A" w14:textId="77777777" w:rsidR="00E87A6B" w:rsidRPr="003A6829" w:rsidRDefault="00E87A6B" w:rsidP="003A6829">
      <w:pPr>
        <w:suppressAutoHyphens/>
        <w:rPr>
          <w:bCs/>
          <w:sz w:val="20"/>
          <w:szCs w:val="20"/>
        </w:rPr>
      </w:pPr>
    </w:p>
  </w:endnote>
  <w:endnote w:id="7">
    <w:p w14:paraId="0E45CB03" w14:textId="77777777" w:rsidR="00E87A6B" w:rsidRDefault="00E87A6B" w:rsidP="003131D8">
      <w:pPr>
        <w:pStyle w:val="EndnoteText"/>
        <w:rPr>
          <w:color w:val="000000"/>
        </w:rPr>
      </w:pPr>
      <w:r>
        <w:rPr>
          <w:rStyle w:val="EndnoteReference"/>
        </w:rPr>
        <w:endnoteRef/>
      </w:r>
      <w:r>
        <w:t xml:space="preserve"> </w:t>
      </w:r>
      <w:r>
        <w:rPr>
          <w:color w:val="000000"/>
        </w:rPr>
        <w:t>Coyne KM, Banks A, Heggie C, Scott CJ, Grover D, Evans C, Mandalia S, McLean KA, Cohen CE. Sexual health of adults working in pornographic films. Int J STD AIDS. 2009 Nov;20(11):809-10.</w:t>
      </w:r>
    </w:p>
    <w:p w14:paraId="2689F959" w14:textId="77777777" w:rsidR="00E87A6B" w:rsidRDefault="00E87A6B" w:rsidP="003131D8">
      <w:pPr>
        <w:pStyle w:val="EndnoteText"/>
      </w:pPr>
    </w:p>
  </w:endnote>
  <w:endnote w:id="8">
    <w:p w14:paraId="162F9B35" w14:textId="77777777" w:rsidR="00E87A6B" w:rsidRPr="00722EEF" w:rsidRDefault="00E87A6B" w:rsidP="00722EEF">
      <w:pPr>
        <w:pStyle w:val="EndnoteText"/>
      </w:pPr>
      <w:r w:rsidRPr="00DA5E83">
        <w:rPr>
          <w:rStyle w:val="EndnoteReference"/>
          <w:b/>
        </w:rPr>
        <w:endnoteRef/>
      </w:r>
      <w:r w:rsidRPr="00DA5E83">
        <w:t xml:space="preserve"> </w:t>
      </w:r>
      <w:hyperlink r:id="rId4" w:history="1">
        <w:r w:rsidRPr="00722EEF">
          <w:rPr>
            <w:rStyle w:val="Hyperlink"/>
            <w:color w:val="auto"/>
            <w:u w:val="none"/>
          </w:rPr>
          <w:t>D'Souza G</w:t>
        </w:r>
      </w:hyperlink>
      <w:r w:rsidRPr="00722EEF">
        <w:t xml:space="preserve">, </w:t>
      </w:r>
      <w:hyperlink r:id="rId5" w:history="1">
        <w:r w:rsidRPr="00722EEF">
          <w:rPr>
            <w:rStyle w:val="Hyperlink"/>
            <w:color w:val="auto"/>
            <w:u w:val="none"/>
          </w:rPr>
          <w:t>Kreimer AR</w:t>
        </w:r>
      </w:hyperlink>
      <w:r w:rsidRPr="00722EEF">
        <w:t xml:space="preserve">, </w:t>
      </w:r>
      <w:hyperlink r:id="rId6" w:history="1">
        <w:r w:rsidRPr="00722EEF">
          <w:rPr>
            <w:rStyle w:val="Hyperlink"/>
            <w:color w:val="auto"/>
            <w:u w:val="none"/>
          </w:rPr>
          <w:t>Viscidi R</w:t>
        </w:r>
      </w:hyperlink>
      <w:r w:rsidRPr="00722EEF">
        <w:t xml:space="preserve">, </w:t>
      </w:r>
      <w:hyperlink r:id="rId7" w:history="1">
        <w:r w:rsidRPr="00722EEF">
          <w:rPr>
            <w:rStyle w:val="Hyperlink"/>
            <w:color w:val="auto"/>
            <w:u w:val="none"/>
          </w:rPr>
          <w:t>Pawlita M</w:t>
        </w:r>
      </w:hyperlink>
      <w:r w:rsidRPr="00722EEF">
        <w:t xml:space="preserve">, </w:t>
      </w:r>
      <w:hyperlink r:id="rId8" w:history="1">
        <w:r w:rsidRPr="00722EEF">
          <w:rPr>
            <w:rStyle w:val="Hyperlink"/>
            <w:color w:val="auto"/>
            <w:u w:val="none"/>
          </w:rPr>
          <w:t>Fakhry C</w:t>
        </w:r>
      </w:hyperlink>
      <w:r w:rsidRPr="00722EEF">
        <w:t xml:space="preserve">, </w:t>
      </w:r>
      <w:hyperlink r:id="rId9" w:history="1">
        <w:r w:rsidRPr="00722EEF">
          <w:rPr>
            <w:rStyle w:val="Hyperlink"/>
            <w:color w:val="auto"/>
            <w:u w:val="none"/>
          </w:rPr>
          <w:t>Koch WM</w:t>
        </w:r>
      </w:hyperlink>
      <w:r w:rsidRPr="00722EEF">
        <w:t xml:space="preserve">, </w:t>
      </w:r>
      <w:hyperlink r:id="rId10" w:history="1">
        <w:r w:rsidRPr="00722EEF">
          <w:rPr>
            <w:rStyle w:val="Hyperlink"/>
            <w:color w:val="auto"/>
            <w:u w:val="none"/>
          </w:rPr>
          <w:t>Westra WH</w:t>
        </w:r>
      </w:hyperlink>
      <w:r w:rsidRPr="00722EEF">
        <w:t xml:space="preserve">, </w:t>
      </w:r>
      <w:hyperlink r:id="rId11" w:history="1">
        <w:r w:rsidRPr="00722EEF">
          <w:rPr>
            <w:rStyle w:val="Hyperlink"/>
            <w:color w:val="auto"/>
            <w:u w:val="none"/>
          </w:rPr>
          <w:t>Gillison ML</w:t>
        </w:r>
      </w:hyperlink>
      <w:r w:rsidRPr="00722EEF">
        <w:t>. Case-control study of human papillomavirus and oropharyngeal cancer. N Engl J Med. 2007 May 10;356(19):1944-56.</w:t>
      </w:r>
    </w:p>
    <w:p w14:paraId="3B620BDB" w14:textId="77777777" w:rsidR="00E87A6B" w:rsidRPr="001C1CAF" w:rsidRDefault="00E87A6B" w:rsidP="00722EEF">
      <w:pPr>
        <w:pStyle w:val="EndnoteText"/>
      </w:pPr>
    </w:p>
  </w:endnote>
  <w:endnote w:id="9">
    <w:p w14:paraId="3B6DB4F7" w14:textId="6C6537F7" w:rsidR="00E87A6B" w:rsidRDefault="00E87A6B" w:rsidP="00DA5E83">
      <w:pPr>
        <w:pStyle w:val="EndnoteText"/>
      </w:pPr>
      <w:r>
        <w:rPr>
          <w:rStyle w:val="EndnoteReference"/>
        </w:rPr>
        <w:endnoteRef/>
      </w:r>
      <w:r>
        <w:t xml:space="preserve"> </w:t>
      </w:r>
      <w:r w:rsidRPr="003A6829">
        <w:t>C</w:t>
      </w:r>
      <w:r>
        <w:t xml:space="preserve">enters for </w:t>
      </w:r>
      <w:r w:rsidRPr="003A6829">
        <w:t>D</w:t>
      </w:r>
      <w:r>
        <w:t>isease Control and Prevention</w:t>
      </w:r>
      <w:r w:rsidRPr="003A6829">
        <w:t xml:space="preserve">. </w:t>
      </w:r>
      <w:r>
        <w:t xml:space="preserve">Oral sex and HIV risk. June 2009. Retrieved on </w:t>
      </w:r>
      <w:smartTag w:uri="urn:schemas-microsoft-com:office:smarttags" w:element="date">
        <w:smartTagPr>
          <w:attr w:name="Year" w:val="2010"/>
          <w:attr w:name="Day" w:val="1"/>
          <w:attr w:name="Month" w:val="9"/>
        </w:smartTagPr>
        <w:r>
          <w:t>September 1, 2010</w:t>
        </w:r>
      </w:smartTag>
      <w:r>
        <w:t xml:space="preserve">, from </w:t>
      </w:r>
      <w:hyperlink r:id="rId12" w:history="1">
        <w:r w:rsidRPr="006C69B9">
          <w:rPr>
            <w:rStyle w:val="Hyperlink"/>
          </w:rPr>
          <w:t>http://www.cdc.gov/hiv/resources/factsheets/o</w:t>
        </w:r>
        <w:r w:rsidRPr="006C69B9">
          <w:rPr>
            <w:rStyle w:val="Hyperlink"/>
          </w:rPr>
          <w:t>r</w:t>
        </w:r>
        <w:r w:rsidRPr="006C69B9">
          <w:rPr>
            <w:rStyle w:val="Hyperlink"/>
          </w:rPr>
          <w:t>alsex.htm</w:t>
        </w:r>
      </w:hyperlink>
      <w:r w:rsidR="00E931A4">
        <w:t xml:space="preserve"> </w:t>
      </w:r>
    </w:p>
    <w:p w14:paraId="7AC42A7D" w14:textId="77777777" w:rsidR="00E87A6B" w:rsidRPr="005977E4" w:rsidRDefault="00E87A6B" w:rsidP="00DA5E83">
      <w:pPr>
        <w:pStyle w:val="EndnoteText"/>
      </w:pPr>
    </w:p>
  </w:endnote>
  <w:endnote w:id="10">
    <w:p w14:paraId="7AC7D4BD" w14:textId="0F8C0E6C" w:rsidR="00E87A6B" w:rsidRPr="00722EEF" w:rsidRDefault="00E87A6B" w:rsidP="00722EEF">
      <w:pPr>
        <w:pStyle w:val="EndnoteText"/>
      </w:pPr>
      <w:r w:rsidRPr="0044177E">
        <w:rPr>
          <w:rStyle w:val="EndnoteReference"/>
          <w:b/>
        </w:rPr>
        <w:endnoteRef/>
      </w:r>
      <w:r w:rsidRPr="0044177E">
        <w:t xml:space="preserve"> </w:t>
      </w:r>
      <w:r w:rsidRPr="00722EEF">
        <w:t>Clinic-based testing for rectal and pharyngeal Neisseria gonorrhoeae and Chlamydia trachomatis infections by community-based organizations--five cities, United States, 2007. MMWR Morb Mortal Wkly Rep. 2009 Jul 10;58(26):716-9.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TNEJMScalaSansLF">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229F9" w14:textId="77777777" w:rsidR="00B00C26" w:rsidRDefault="00B00C26">
      <w:r>
        <w:separator/>
      </w:r>
    </w:p>
  </w:footnote>
  <w:footnote w:type="continuationSeparator" w:id="0">
    <w:p w14:paraId="4E84364E" w14:textId="77777777" w:rsidR="00B00C26" w:rsidRDefault="00B00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9B6D" w14:textId="77777777" w:rsidR="00E87A6B" w:rsidRDefault="00E87A6B" w:rsidP="000A4B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A8F25" w14:textId="77777777" w:rsidR="00E87A6B" w:rsidRDefault="00E87A6B" w:rsidP="00E87A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C081" w14:textId="77777777" w:rsidR="00E87A6B" w:rsidRDefault="00E87A6B" w:rsidP="000A4B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C48">
      <w:rPr>
        <w:rStyle w:val="PageNumber"/>
        <w:noProof/>
      </w:rPr>
      <w:t>2</w:t>
    </w:r>
    <w:r>
      <w:rPr>
        <w:rStyle w:val="PageNumber"/>
      </w:rPr>
      <w:fldChar w:fldCharType="end"/>
    </w:r>
  </w:p>
  <w:p w14:paraId="1E45F0E1" w14:textId="77777777" w:rsidR="00E87A6B" w:rsidRDefault="00E87A6B" w:rsidP="00E87A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3E29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009C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B2ED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B49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50CA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B469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B4C0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78AB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5E2C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40A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A77B7"/>
    <w:multiLevelType w:val="hybridMultilevel"/>
    <w:tmpl w:val="03228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2B7932"/>
    <w:multiLevelType w:val="hybridMultilevel"/>
    <w:tmpl w:val="5F106D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033391"/>
    <w:multiLevelType w:val="hybridMultilevel"/>
    <w:tmpl w:val="138E72A6"/>
    <w:lvl w:ilvl="0" w:tplc="7C624D7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8F5D13"/>
    <w:multiLevelType w:val="hybridMultilevel"/>
    <w:tmpl w:val="B6902508"/>
    <w:lvl w:ilvl="0" w:tplc="1CDEF264">
      <w:start w:val="1"/>
      <w:numFmt w:val="bullet"/>
      <w:lvlText w:val=""/>
      <w:lvlJc w:val="left"/>
      <w:pPr>
        <w:tabs>
          <w:tab w:val="num" w:pos="720"/>
        </w:tabs>
        <w:ind w:left="720" w:hanging="360"/>
      </w:pPr>
      <w:rPr>
        <w:rFonts w:ascii="Wingdings" w:hAnsi="Wingdings" w:hint="default"/>
      </w:rPr>
    </w:lvl>
    <w:lvl w:ilvl="1" w:tplc="A9D6F744">
      <w:start w:val="168"/>
      <w:numFmt w:val="bullet"/>
      <w:lvlText w:val=""/>
      <w:lvlJc w:val="left"/>
      <w:pPr>
        <w:tabs>
          <w:tab w:val="num" w:pos="1440"/>
        </w:tabs>
        <w:ind w:left="1440" w:hanging="360"/>
      </w:pPr>
      <w:rPr>
        <w:rFonts w:ascii="Wingdings" w:hAnsi="Wingdings" w:hint="default"/>
      </w:rPr>
    </w:lvl>
    <w:lvl w:ilvl="2" w:tplc="7BD890BE" w:tentative="1">
      <w:start w:val="1"/>
      <w:numFmt w:val="bullet"/>
      <w:lvlText w:val=""/>
      <w:lvlJc w:val="left"/>
      <w:pPr>
        <w:tabs>
          <w:tab w:val="num" w:pos="2160"/>
        </w:tabs>
        <w:ind w:left="2160" w:hanging="360"/>
      </w:pPr>
      <w:rPr>
        <w:rFonts w:ascii="Wingdings" w:hAnsi="Wingdings" w:hint="default"/>
      </w:rPr>
    </w:lvl>
    <w:lvl w:ilvl="3" w:tplc="316ED366" w:tentative="1">
      <w:start w:val="1"/>
      <w:numFmt w:val="bullet"/>
      <w:lvlText w:val=""/>
      <w:lvlJc w:val="left"/>
      <w:pPr>
        <w:tabs>
          <w:tab w:val="num" w:pos="2880"/>
        </w:tabs>
        <w:ind w:left="2880" w:hanging="360"/>
      </w:pPr>
      <w:rPr>
        <w:rFonts w:ascii="Wingdings" w:hAnsi="Wingdings" w:hint="default"/>
      </w:rPr>
    </w:lvl>
    <w:lvl w:ilvl="4" w:tplc="A540288C" w:tentative="1">
      <w:start w:val="1"/>
      <w:numFmt w:val="bullet"/>
      <w:lvlText w:val=""/>
      <w:lvlJc w:val="left"/>
      <w:pPr>
        <w:tabs>
          <w:tab w:val="num" w:pos="3600"/>
        </w:tabs>
        <w:ind w:left="3600" w:hanging="360"/>
      </w:pPr>
      <w:rPr>
        <w:rFonts w:ascii="Wingdings" w:hAnsi="Wingdings" w:hint="default"/>
      </w:rPr>
    </w:lvl>
    <w:lvl w:ilvl="5" w:tplc="0DE4534E" w:tentative="1">
      <w:start w:val="1"/>
      <w:numFmt w:val="bullet"/>
      <w:lvlText w:val=""/>
      <w:lvlJc w:val="left"/>
      <w:pPr>
        <w:tabs>
          <w:tab w:val="num" w:pos="4320"/>
        </w:tabs>
        <w:ind w:left="4320" w:hanging="360"/>
      </w:pPr>
      <w:rPr>
        <w:rFonts w:ascii="Wingdings" w:hAnsi="Wingdings" w:hint="default"/>
      </w:rPr>
    </w:lvl>
    <w:lvl w:ilvl="6" w:tplc="65D06C0C" w:tentative="1">
      <w:start w:val="1"/>
      <w:numFmt w:val="bullet"/>
      <w:lvlText w:val=""/>
      <w:lvlJc w:val="left"/>
      <w:pPr>
        <w:tabs>
          <w:tab w:val="num" w:pos="5040"/>
        </w:tabs>
        <w:ind w:left="5040" w:hanging="360"/>
      </w:pPr>
      <w:rPr>
        <w:rFonts w:ascii="Wingdings" w:hAnsi="Wingdings" w:hint="default"/>
      </w:rPr>
    </w:lvl>
    <w:lvl w:ilvl="7" w:tplc="8C90DF72" w:tentative="1">
      <w:start w:val="1"/>
      <w:numFmt w:val="bullet"/>
      <w:lvlText w:val=""/>
      <w:lvlJc w:val="left"/>
      <w:pPr>
        <w:tabs>
          <w:tab w:val="num" w:pos="5760"/>
        </w:tabs>
        <w:ind w:left="5760" w:hanging="360"/>
      </w:pPr>
      <w:rPr>
        <w:rFonts w:ascii="Wingdings" w:hAnsi="Wingdings" w:hint="default"/>
      </w:rPr>
    </w:lvl>
    <w:lvl w:ilvl="8" w:tplc="A9025F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B2D70"/>
    <w:multiLevelType w:val="hybridMultilevel"/>
    <w:tmpl w:val="F02AF970"/>
    <w:lvl w:ilvl="0" w:tplc="D41E29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F0CCC"/>
    <w:multiLevelType w:val="hybridMultilevel"/>
    <w:tmpl w:val="885EE314"/>
    <w:lvl w:ilvl="0" w:tplc="29AE6FB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90B44BA"/>
    <w:multiLevelType w:val="hybridMultilevel"/>
    <w:tmpl w:val="A7B68E6E"/>
    <w:lvl w:ilvl="0" w:tplc="7660A2D8">
      <w:start w:val="1"/>
      <w:numFmt w:val="bullet"/>
      <w:lvlText w:val=""/>
      <w:lvlJc w:val="left"/>
      <w:pPr>
        <w:tabs>
          <w:tab w:val="num" w:pos="720"/>
        </w:tabs>
        <w:ind w:left="720" w:hanging="360"/>
      </w:pPr>
      <w:rPr>
        <w:rFonts w:ascii="Wingdings 2" w:hAnsi="Wingdings 2" w:hint="default"/>
      </w:rPr>
    </w:lvl>
    <w:lvl w:ilvl="1" w:tplc="C8C489A4" w:tentative="1">
      <w:start w:val="1"/>
      <w:numFmt w:val="bullet"/>
      <w:lvlText w:val=""/>
      <w:lvlJc w:val="left"/>
      <w:pPr>
        <w:tabs>
          <w:tab w:val="num" w:pos="1440"/>
        </w:tabs>
        <w:ind w:left="1440" w:hanging="360"/>
      </w:pPr>
      <w:rPr>
        <w:rFonts w:ascii="Wingdings 2" w:hAnsi="Wingdings 2" w:hint="default"/>
      </w:rPr>
    </w:lvl>
    <w:lvl w:ilvl="2" w:tplc="F0D82A8C" w:tentative="1">
      <w:start w:val="1"/>
      <w:numFmt w:val="bullet"/>
      <w:lvlText w:val=""/>
      <w:lvlJc w:val="left"/>
      <w:pPr>
        <w:tabs>
          <w:tab w:val="num" w:pos="2160"/>
        </w:tabs>
        <w:ind w:left="2160" w:hanging="360"/>
      </w:pPr>
      <w:rPr>
        <w:rFonts w:ascii="Wingdings 2" w:hAnsi="Wingdings 2" w:hint="default"/>
      </w:rPr>
    </w:lvl>
    <w:lvl w:ilvl="3" w:tplc="BAE43C06" w:tentative="1">
      <w:start w:val="1"/>
      <w:numFmt w:val="bullet"/>
      <w:lvlText w:val=""/>
      <w:lvlJc w:val="left"/>
      <w:pPr>
        <w:tabs>
          <w:tab w:val="num" w:pos="2880"/>
        </w:tabs>
        <w:ind w:left="2880" w:hanging="360"/>
      </w:pPr>
      <w:rPr>
        <w:rFonts w:ascii="Wingdings 2" w:hAnsi="Wingdings 2" w:hint="default"/>
      </w:rPr>
    </w:lvl>
    <w:lvl w:ilvl="4" w:tplc="469C611C" w:tentative="1">
      <w:start w:val="1"/>
      <w:numFmt w:val="bullet"/>
      <w:lvlText w:val=""/>
      <w:lvlJc w:val="left"/>
      <w:pPr>
        <w:tabs>
          <w:tab w:val="num" w:pos="3600"/>
        </w:tabs>
        <w:ind w:left="3600" w:hanging="360"/>
      </w:pPr>
      <w:rPr>
        <w:rFonts w:ascii="Wingdings 2" w:hAnsi="Wingdings 2" w:hint="default"/>
      </w:rPr>
    </w:lvl>
    <w:lvl w:ilvl="5" w:tplc="FB0ECC64" w:tentative="1">
      <w:start w:val="1"/>
      <w:numFmt w:val="bullet"/>
      <w:lvlText w:val=""/>
      <w:lvlJc w:val="left"/>
      <w:pPr>
        <w:tabs>
          <w:tab w:val="num" w:pos="4320"/>
        </w:tabs>
        <w:ind w:left="4320" w:hanging="360"/>
      </w:pPr>
      <w:rPr>
        <w:rFonts w:ascii="Wingdings 2" w:hAnsi="Wingdings 2" w:hint="default"/>
      </w:rPr>
    </w:lvl>
    <w:lvl w:ilvl="6" w:tplc="BBBE1648" w:tentative="1">
      <w:start w:val="1"/>
      <w:numFmt w:val="bullet"/>
      <w:lvlText w:val=""/>
      <w:lvlJc w:val="left"/>
      <w:pPr>
        <w:tabs>
          <w:tab w:val="num" w:pos="5040"/>
        </w:tabs>
        <w:ind w:left="5040" w:hanging="360"/>
      </w:pPr>
      <w:rPr>
        <w:rFonts w:ascii="Wingdings 2" w:hAnsi="Wingdings 2" w:hint="default"/>
      </w:rPr>
    </w:lvl>
    <w:lvl w:ilvl="7" w:tplc="14009BEA" w:tentative="1">
      <w:start w:val="1"/>
      <w:numFmt w:val="bullet"/>
      <w:lvlText w:val=""/>
      <w:lvlJc w:val="left"/>
      <w:pPr>
        <w:tabs>
          <w:tab w:val="num" w:pos="5760"/>
        </w:tabs>
        <w:ind w:left="5760" w:hanging="360"/>
      </w:pPr>
      <w:rPr>
        <w:rFonts w:ascii="Wingdings 2" w:hAnsi="Wingdings 2" w:hint="default"/>
      </w:rPr>
    </w:lvl>
    <w:lvl w:ilvl="8" w:tplc="C886525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D316821"/>
    <w:multiLevelType w:val="hybridMultilevel"/>
    <w:tmpl w:val="2738042C"/>
    <w:lvl w:ilvl="0" w:tplc="5BB00682">
      <w:start w:val="4"/>
      <w:numFmt w:val="decimal"/>
      <w:lvlText w:val="%1)"/>
      <w:lvlJc w:val="left"/>
      <w:pPr>
        <w:tabs>
          <w:tab w:val="num" w:pos="720"/>
        </w:tabs>
        <w:ind w:left="720" w:hanging="360"/>
      </w:pPr>
    </w:lvl>
    <w:lvl w:ilvl="1" w:tplc="EF52DEEA">
      <w:start w:val="1"/>
      <w:numFmt w:val="decimal"/>
      <w:lvlText w:val="%2)"/>
      <w:lvlJc w:val="left"/>
      <w:pPr>
        <w:tabs>
          <w:tab w:val="num" w:pos="1440"/>
        </w:tabs>
        <w:ind w:left="1440" w:hanging="360"/>
      </w:pPr>
    </w:lvl>
    <w:lvl w:ilvl="2" w:tplc="67E40972" w:tentative="1">
      <w:start w:val="1"/>
      <w:numFmt w:val="decimal"/>
      <w:lvlText w:val="%3)"/>
      <w:lvlJc w:val="left"/>
      <w:pPr>
        <w:tabs>
          <w:tab w:val="num" w:pos="2160"/>
        </w:tabs>
        <w:ind w:left="2160" w:hanging="360"/>
      </w:pPr>
    </w:lvl>
    <w:lvl w:ilvl="3" w:tplc="DC38F394" w:tentative="1">
      <w:start w:val="1"/>
      <w:numFmt w:val="decimal"/>
      <w:lvlText w:val="%4)"/>
      <w:lvlJc w:val="left"/>
      <w:pPr>
        <w:tabs>
          <w:tab w:val="num" w:pos="2880"/>
        </w:tabs>
        <w:ind w:left="2880" w:hanging="360"/>
      </w:pPr>
    </w:lvl>
    <w:lvl w:ilvl="4" w:tplc="3BB86BCE" w:tentative="1">
      <w:start w:val="1"/>
      <w:numFmt w:val="decimal"/>
      <w:lvlText w:val="%5)"/>
      <w:lvlJc w:val="left"/>
      <w:pPr>
        <w:tabs>
          <w:tab w:val="num" w:pos="3600"/>
        </w:tabs>
        <w:ind w:left="3600" w:hanging="360"/>
      </w:pPr>
    </w:lvl>
    <w:lvl w:ilvl="5" w:tplc="41FCB92E" w:tentative="1">
      <w:start w:val="1"/>
      <w:numFmt w:val="decimal"/>
      <w:lvlText w:val="%6)"/>
      <w:lvlJc w:val="left"/>
      <w:pPr>
        <w:tabs>
          <w:tab w:val="num" w:pos="4320"/>
        </w:tabs>
        <w:ind w:left="4320" w:hanging="360"/>
      </w:pPr>
    </w:lvl>
    <w:lvl w:ilvl="6" w:tplc="C43E2EF0" w:tentative="1">
      <w:start w:val="1"/>
      <w:numFmt w:val="decimal"/>
      <w:lvlText w:val="%7)"/>
      <w:lvlJc w:val="left"/>
      <w:pPr>
        <w:tabs>
          <w:tab w:val="num" w:pos="5040"/>
        </w:tabs>
        <w:ind w:left="5040" w:hanging="360"/>
      </w:pPr>
    </w:lvl>
    <w:lvl w:ilvl="7" w:tplc="07F82CCA" w:tentative="1">
      <w:start w:val="1"/>
      <w:numFmt w:val="decimal"/>
      <w:lvlText w:val="%8)"/>
      <w:lvlJc w:val="left"/>
      <w:pPr>
        <w:tabs>
          <w:tab w:val="num" w:pos="5760"/>
        </w:tabs>
        <w:ind w:left="5760" w:hanging="360"/>
      </w:pPr>
    </w:lvl>
    <w:lvl w:ilvl="8" w:tplc="9B1885C6" w:tentative="1">
      <w:start w:val="1"/>
      <w:numFmt w:val="decimal"/>
      <w:lvlText w:val="%9)"/>
      <w:lvlJc w:val="left"/>
      <w:pPr>
        <w:tabs>
          <w:tab w:val="num" w:pos="6480"/>
        </w:tabs>
        <w:ind w:left="6480" w:hanging="360"/>
      </w:pPr>
    </w:lvl>
  </w:abstractNum>
  <w:abstractNum w:abstractNumId="18" w15:restartNumberingAfterBreak="0">
    <w:nsid w:val="2DEA1CC4"/>
    <w:multiLevelType w:val="hybridMultilevel"/>
    <w:tmpl w:val="634026F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9616D"/>
    <w:multiLevelType w:val="hybridMultilevel"/>
    <w:tmpl w:val="81BA40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EF167E7"/>
    <w:multiLevelType w:val="hybridMultilevel"/>
    <w:tmpl w:val="97587AD6"/>
    <w:lvl w:ilvl="0" w:tplc="FD564E50">
      <w:start w:val="1"/>
      <w:numFmt w:val="bullet"/>
      <w:lvlText w:val=""/>
      <w:lvlJc w:val="left"/>
      <w:pPr>
        <w:tabs>
          <w:tab w:val="num" w:pos="720"/>
        </w:tabs>
        <w:ind w:left="720" w:hanging="360"/>
      </w:pPr>
      <w:rPr>
        <w:rFonts w:ascii="Wingdings 2" w:hAnsi="Wingdings 2" w:hint="default"/>
      </w:rPr>
    </w:lvl>
    <w:lvl w:ilvl="1" w:tplc="DDD01E22" w:tentative="1">
      <w:start w:val="1"/>
      <w:numFmt w:val="bullet"/>
      <w:lvlText w:val=""/>
      <w:lvlJc w:val="left"/>
      <w:pPr>
        <w:tabs>
          <w:tab w:val="num" w:pos="1440"/>
        </w:tabs>
        <w:ind w:left="1440" w:hanging="360"/>
      </w:pPr>
      <w:rPr>
        <w:rFonts w:ascii="Wingdings 2" w:hAnsi="Wingdings 2" w:hint="default"/>
      </w:rPr>
    </w:lvl>
    <w:lvl w:ilvl="2" w:tplc="4FC48E5C" w:tentative="1">
      <w:start w:val="1"/>
      <w:numFmt w:val="bullet"/>
      <w:lvlText w:val=""/>
      <w:lvlJc w:val="left"/>
      <w:pPr>
        <w:tabs>
          <w:tab w:val="num" w:pos="2160"/>
        </w:tabs>
        <w:ind w:left="2160" w:hanging="360"/>
      </w:pPr>
      <w:rPr>
        <w:rFonts w:ascii="Wingdings 2" w:hAnsi="Wingdings 2" w:hint="default"/>
      </w:rPr>
    </w:lvl>
    <w:lvl w:ilvl="3" w:tplc="DEF4E668" w:tentative="1">
      <w:start w:val="1"/>
      <w:numFmt w:val="bullet"/>
      <w:lvlText w:val=""/>
      <w:lvlJc w:val="left"/>
      <w:pPr>
        <w:tabs>
          <w:tab w:val="num" w:pos="2880"/>
        </w:tabs>
        <w:ind w:left="2880" w:hanging="360"/>
      </w:pPr>
      <w:rPr>
        <w:rFonts w:ascii="Wingdings 2" w:hAnsi="Wingdings 2" w:hint="default"/>
      </w:rPr>
    </w:lvl>
    <w:lvl w:ilvl="4" w:tplc="A648B55E" w:tentative="1">
      <w:start w:val="1"/>
      <w:numFmt w:val="bullet"/>
      <w:lvlText w:val=""/>
      <w:lvlJc w:val="left"/>
      <w:pPr>
        <w:tabs>
          <w:tab w:val="num" w:pos="3600"/>
        </w:tabs>
        <w:ind w:left="3600" w:hanging="360"/>
      </w:pPr>
      <w:rPr>
        <w:rFonts w:ascii="Wingdings 2" w:hAnsi="Wingdings 2" w:hint="default"/>
      </w:rPr>
    </w:lvl>
    <w:lvl w:ilvl="5" w:tplc="6FDCB75C" w:tentative="1">
      <w:start w:val="1"/>
      <w:numFmt w:val="bullet"/>
      <w:lvlText w:val=""/>
      <w:lvlJc w:val="left"/>
      <w:pPr>
        <w:tabs>
          <w:tab w:val="num" w:pos="4320"/>
        </w:tabs>
        <w:ind w:left="4320" w:hanging="360"/>
      </w:pPr>
      <w:rPr>
        <w:rFonts w:ascii="Wingdings 2" w:hAnsi="Wingdings 2" w:hint="default"/>
      </w:rPr>
    </w:lvl>
    <w:lvl w:ilvl="6" w:tplc="EDCA0572" w:tentative="1">
      <w:start w:val="1"/>
      <w:numFmt w:val="bullet"/>
      <w:lvlText w:val=""/>
      <w:lvlJc w:val="left"/>
      <w:pPr>
        <w:tabs>
          <w:tab w:val="num" w:pos="5040"/>
        </w:tabs>
        <w:ind w:left="5040" w:hanging="360"/>
      </w:pPr>
      <w:rPr>
        <w:rFonts w:ascii="Wingdings 2" w:hAnsi="Wingdings 2" w:hint="default"/>
      </w:rPr>
    </w:lvl>
    <w:lvl w:ilvl="7" w:tplc="251879A6" w:tentative="1">
      <w:start w:val="1"/>
      <w:numFmt w:val="bullet"/>
      <w:lvlText w:val=""/>
      <w:lvlJc w:val="left"/>
      <w:pPr>
        <w:tabs>
          <w:tab w:val="num" w:pos="5760"/>
        </w:tabs>
        <w:ind w:left="5760" w:hanging="360"/>
      </w:pPr>
      <w:rPr>
        <w:rFonts w:ascii="Wingdings 2" w:hAnsi="Wingdings 2" w:hint="default"/>
      </w:rPr>
    </w:lvl>
    <w:lvl w:ilvl="8" w:tplc="6518A5A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70A1FC7"/>
    <w:multiLevelType w:val="hybridMultilevel"/>
    <w:tmpl w:val="F57A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84F71"/>
    <w:multiLevelType w:val="hybridMultilevel"/>
    <w:tmpl w:val="F222A21E"/>
    <w:lvl w:ilvl="0" w:tplc="0A420914">
      <w:start w:val="1"/>
      <w:numFmt w:val="decimal"/>
      <w:lvlText w:val="%1)"/>
      <w:lvlJc w:val="left"/>
      <w:pPr>
        <w:tabs>
          <w:tab w:val="num" w:pos="720"/>
        </w:tabs>
        <w:ind w:left="720" w:hanging="360"/>
      </w:pPr>
    </w:lvl>
    <w:lvl w:ilvl="1" w:tplc="A8962E9A">
      <w:start w:val="1"/>
      <w:numFmt w:val="decimal"/>
      <w:lvlText w:val="%2)"/>
      <w:lvlJc w:val="left"/>
      <w:pPr>
        <w:tabs>
          <w:tab w:val="num" w:pos="1440"/>
        </w:tabs>
        <w:ind w:left="1440" w:hanging="360"/>
      </w:pPr>
    </w:lvl>
    <w:lvl w:ilvl="2" w:tplc="24181DB6" w:tentative="1">
      <w:start w:val="1"/>
      <w:numFmt w:val="decimal"/>
      <w:lvlText w:val="%3)"/>
      <w:lvlJc w:val="left"/>
      <w:pPr>
        <w:tabs>
          <w:tab w:val="num" w:pos="2160"/>
        </w:tabs>
        <w:ind w:left="2160" w:hanging="360"/>
      </w:pPr>
    </w:lvl>
    <w:lvl w:ilvl="3" w:tplc="42423F32" w:tentative="1">
      <w:start w:val="1"/>
      <w:numFmt w:val="decimal"/>
      <w:lvlText w:val="%4)"/>
      <w:lvlJc w:val="left"/>
      <w:pPr>
        <w:tabs>
          <w:tab w:val="num" w:pos="2880"/>
        </w:tabs>
        <w:ind w:left="2880" w:hanging="360"/>
      </w:pPr>
    </w:lvl>
    <w:lvl w:ilvl="4" w:tplc="B920B9C0" w:tentative="1">
      <w:start w:val="1"/>
      <w:numFmt w:val="decimal"/>
      <w:lvlText w:val="%5)"/>
      <w:lvlJc w:val="left"/>
      <w:pPr>
        <w:tabs>
          <w:tab w:val="num" w:pos="3600"/>
        </w:tabs>
        <w:ind w:left="3600" w:hanging="360"/>
      </w:pPr>
    </w:lvl>
    <w:lvl w:ilvl="5" w:tplc="79DC570A" w:tentative="1">
      <w:start w:val="1"/>
      <w:numFmt w:val="decimal"/>
      <w:lvlText w:val="%6)"/>
      <w:lvlJc w:val="left"/>
      <w:pPr>
        <w:tabs>
          <w:tab w:val="num" w:pos="4320"/>
        </w:tabs>
        <w:ind w:left="4320" w:hanging="360"/>
      </w:pPr>
    </w:lvl>
    <w:lvl w:ilvl="6" w:tplc="785AA488" w:tentative="1">
      <w:start w:val="1"/>
      <w:numFmt w:val="decimal"/>
      <w:lvlText w:val="%7)"/>
      <w:lvlJc w:val="left"/>
      <w:pPr>
        <w:tabs>
          <w:tab w:val="num" w:pos="5040"/>
        </w:tabs>
        <w:ind w:left="5040" w:hanging="360"/>
      </w:pPr>
    </w:lvl>
    <w:lvl w:ilvl="7" w:tplc="90EA0462" w:tentative="1">
      <w:start w:val="1"/>
      <w:numFmt w:val="decimal"/>
      <w:lvlText w:val="%8)"/>
      <w:lvlJc w:val="left"/>
      <w:pPr>
        <w:tabs>
          <w:tab w:val="num" w:pos="5760"/>
        </w:tabs>
        <w:ind w:left="5760" w:hanging="360"/>
      </w:pPr>
    </w:lvl>
    <w:lvl w:ilvl="8" w:tplc="921E2FF2" w:tentative="1">
      <w:start w:val="1"/>
      <w:numFmt w:val="decimal"/>
      <w:lvlText w:val="%9)"/>
      <w:lvlJc w:val="left"/>
      <w:pPr>
        <w:tabs>
          <w:tab w:val="num" w:pos="6480"/>
        </w:tabs>
        <w:ind w:left="6480" w:hanging="360"/>
      </w:pPr>
    </w:lvl>
  </w:abstractNum>
  <w:abstractNum w:abstractNumId="23" w15:restartNumberingAfterBreak="0">
    <w:nsid w:val="55335A96"/>
    <w:multiLevelType w:val="hybridMultilevel"/>
    <w:tmpl w:val="D7D466CA"/>
    <w:lvl w:ilvl="0" w:tplc="D524708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564B3E6F"/>
    <w:multiLevelType w:val="hybridMultilevel"/>
    <w:tmpl w:val="6DBE9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F53478"/>
    <w:multiLevelType w:val="hybridMultilevel"/>
    <w:tmpl w:val="5762A186"/>
    <w:lvl w:ilvl="0" w:tplc="F9D2764E">
      <w:start w:val="5"/>
      <w:numFmt w:val="decimal"/>
      <w:lvlText w:val="%1)"/>
      <w:lvlJc w:val="left"/>
      <w:pPr>
        <w:tabs>
          <w:tab w:val="num" w:pos="720"/>
        </w:tabs>
        <w:ind w:left="720" w:hanging="360"/>
      </w:pPr>
    </w:lvl>
    <w:lvl w:ilvl="1" w:tplc="07628D00">
      <w:start w:val="1"/>
      <w:numFmt w:val="decimal"/>
      <w:lvlText w:val="%2)"/>
      <w:lvlJc w:val="left"/>
      <w:pPr>
        <w:tabs>
          <w:tab w:val="num" w:pos="1440"/>
        </w:tabs>
        <w:ind w:left="1440" w:hanging="360"/>
      </w:pPr>
    </w:lvl>
    <w:lvl w:ilvl="2" w:tplc="A2AE84EE" w:tentative="1">
      <w:start w:val="1"/>
      <w:numFmt w:val="decimal"/>
      <w:lvlText w:val="%3)"/>
      <w:lvlJc w:val="left"/>
      <w:pPr>
        <w:tabs>
          <w:tab w:val="num" w:pos="2160"/>
        </w:tabs>
        <w:ind w:left="2160" w:hanging="360"/>
      </w:pPr>
    </w:lvl>
    <w:lvl w:ilvl="3" w:tplc="194858CE" w:tentative="1">
      <w:start w:val="1"/>
      <w:numFmt w:val="decimal"/>
      <w:lvlText w:val="%4)"/>
      <w:lvlJc w:val="left"/>
      <w:pPr>
        <w:tabs>
          <w:tab w:val="num" w:pos="2880"/>
        </w:tabs>
        <w:ind w:left="2880" w:hanging="360"/>
      </w:pPr>
    </w:lvl>
    <w:lvl w:ilvl="4" w:tplc="326A777C" w:tentative="1">
      <w:start w:val="1"/>
      <w:numFmt w:val="decimal"/>
      <w:lvlText w:val="%5)"/>
      <w:lvlJc w:val="left"/>
      <w:pPr>
        <w:tabs>
          <w:tab w:val="num" w:pos="3600"/>
        </w:tabs>
        <w:ind w:left="3600" w:hanging="360"/>
      </w:pPr>
    </w:lvl>
    <w:lvl w:ilvl="5" w:tplc="455AD940" w:tentative="1">
      <w:start w:val="1"/>
      <w:numFmt w:val="decimal"/>
      <w:lvlText w:val="%6)"/>
      <w:lvlJc w:val="left"/>
      <w:pPr>
        <w:tabs>
          <w:tab w:val="num" w:pos="4320"/>
        </w:tabs>
        <w:ind w:left="4320" w:hanging="360"/>
      </w:pPr>
    </w:lvl>
    <w:lvl w:ilvl="6" w:tplc="1B6A1BE0" w:tentative="1">
      <w:start w:val="1"/>
      <w:numFmt w:val="decimal"/>
      <w:lvlText w:val="%7)"/>
      <w:lvlJc w:val="left"/>
      <w:pPr>
        <w:tabs>
          <w:tab w:val="num" w:pos="5040"/>
        </w:tabs>
        <w:ind w:left="5040" w:hanging="360"/>
      </w:pPr>
    </w:lvl>
    <w:lvl w:ilvl="7" w:tplc="DC96F30C" w:tentative="1">
      <w:start w:val="1"/>
      <w:numFmt w:val="decimal"/>
      <w:lvlText w:val="%8)"/>
      <w:lvlJc w:val="left"/>
      <w:pPr>
        <w:tabs>
          <w:tab w:val="num" w:pos="5760"/>
        </w:tabs>
        <w:ind w:left="5760" w:hanging="360"/>
      </w:pPr>
    </w:lvl>
    <w:lvl w:ilvl="8" w:tplc="A65CB99E" w:tentative="1">
      <w:start w:val="1"/>
      <w:numFmt w:val="decimal"/>
      <w:lvlText w:val="%9)"/>
      <w:lvlJc w:val="left"/>
      <w:pPr>
        <w:tabs>
          <w:tab w:val="num" w:pos="6480"/>
        </w:tabs>
        <w:ind w:left="6480" w:hanging="360"/>
      </w:pPr>
    </w:lvl>
  </w:abstractNum>
  <w:abstractNum w:abstractNumId="26" w15:restartNumberingAfterBreak="0">
    <w:nsid w:val="57230F9C"/>
    <w:multiLevelType w:val="hybridMultilevel"/>
    <w:tmpl w:val="20A82E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950B3A"/>
    <w:multiLevelType w:val="hybridMultilevel"/>
    <w:tmpl w:val="B256235C"/>
    <w:lvl w:ilvl="0" w:tplc="F1E0C16C">
      <w:start w:val="1"/>
      <w:numFmt w:val="decimal"/>
      <w:lvlText w:val="%1)"/>
      <w:lvlJc w:val="left"/>
      <w:pPr>
        <w:tabs>
          <w:tab w:val="num" w:pos="720"/>
        </w:tabs>
        <w:ind w:left="720" w:hanging="360"/>
      </w:pPr>
    </w:lvl>
    <w:lvl w:ilvl="1" w:tplc="F75E6ED8">
      <w:start w:val="1"/>
      <w:numFmt w:val="decimal"/>
      <w:lvlText w:val="%2)"/>
      <w:lvlJc w:val="left"/>
      <w:pPr>
        <w:tabs>
          <w:tab w:val="num" w:pos="1440"/>
        </w:tabs>
        <w:ind w:left="1440" w:hanging="360"/>
      </w:pPr>
    </w:lvl>
    <w:lvl w:ilvl="2" w:tplc="F3DCF548" w:tentative="1">
      <w:start w:val="1"/>
      <w:numFmt w:val="decimal"/>
      <w:lvlText w:val="%3)"/>
      <w:lvlJc w:val="left"/>
      <w:pPr>
        <w:tabs>
          <w:tab w:val="num" w:pos="2160"/>
        </w:tabs>
        <w:ind w:left="2160" w:hanging="360"/>
      </w:pPr>
    </w:lvl>
    <w:lvl w:ilvl="3" w:tplc="7376F900" w:tentative="1">
      <w:start w:val="1"/>
      <w:numFmt w:val="decimal"/>
      <w:lvlText w:val="%4)"/>
      <w:lvlJc w:val="left"/>
      <w:pPr>
        <w:tabs>
          <w:tab w:val="num" w:pos="2880"/>
        </w:tabs>
        <w:ind w:left="2880" w:hanging="360"/>
      </w:pPr>
    </w:lvl>
    <w:lvl w:ilvl="4" w:tplc="33B6148E" w:tentative="1">
      <w:start w:val="1"/>
      <w:numFmt w:val="decimal"/>
      <w:lvlText w:val="%5)"/>
      <w:lvlJc w:val="left"/>
      <w:pPr>
        <w:tabs>
          <w:tab w:val="num" w:pos="3600"/>
        </w:tabs>
        <w:ind w:left="3600" w:hanging="360"/>
      </w:pPr>
    </w:lvl>
    <w:lvl w:ilvl="5" w:tplc="C8EC85FA" w:tentative="1">
      <w:start w:val="1"/>
      <w:numFmt w:val="decimal"/>
      <w:lvlText w:val="%6)"/>
      <w:lvlJc w:val="left"/>
      <w:pPr>
        <w:tabs>
          <w:tab w:val="num" w:pos="4320"/>
        </w:tabs>
        <w:ind w:left="4320" w:hanging="360"/>
      </w:pPr>
    </w:lvl>
    <w:lvl w:ilvl="6" w:tplc="3B2A2CEE" w:tentative="1">
      <w:start w:val="1"/>
      <w:numFmt w:val="decimal"/>
      <w:lvlText w:val="%7)"/>
      <w:lvlJc w:val="left"/>
      <w:pPr>
        <w:tabs>
          <w:tab w:val="num" w:pos="5040"/>
        </w:tabs>
        <w:ind w:left="5040" w:hanging="360"/>
      </w:pPr>
    </w:lvl>
    <w:lvl w:ilvl="7" w:tplc="2CF41BF0" w:tentative="1">
      <w:start w:val="1"/>
      <w:numFmt w:val="decimal"/>
      <w:lvlText w:val="%8)"/>
      <w:lvlJc w:val="left"/>
      <w:pPr>
        <w:tabs>
          <w:tab w:val="num" w:pos="5760"/>
        </w:tabs>
        <w:ind w:left="5760" w:hanging="360"/>
      </w:pPr>
    </w:lvl>
    <w:lvl w:ilvl="8" w:tplc="35067BD0" w:tentative="1">
      <w:start w:val="1"/>
      <w:numFmt w:val="decimal"/>
      <w:lvlText w:val="%9)"/>
      <w:lvlJc w:val="left"/>
      <w:pPr>
        <w:tabs>
          <w:tab w:val="num" w:pos="6480"/>
        </w:tabs>
        <w:ind w:left="6480" w:hanging="360"/>
      </w:pPr>
    </w:lvl>
  </w:abstractNum>
  <w:abstractNum w:abstractNumId="28" w15:restartNumberingAfterBreak="0">
    <w:nsid w:val="6BA037DD"/>
    <w:multiLevelType w:val="hybridMultilevel"/>
    <w:tmpl w:val="9ED4A22A"/>
    <w:lvl w:ilvl="0" w:tplc="D244F7D6">
      <w:start w:val="1"/>
      <w:numFmt w:val="bullet"/>
      <w:lvlText w:val=""/>
      <w:lvlJc w:val="left"/>
      <w:pPr>
        <w:tabs>
          <w:tab w:val="num" w:pos="720"/>
        </w:tabs>
        <w:ind w:left="720" w:hanging="360"/>
      </w:pPr>
      <w:rPr>
        <w:rFonts w:ascii="Wingdings 2" w:hAnsi="Wingdings 2" w:hint="default"/>
      </w:rPr>
    </w:lvl>
    <w:lvl w:ilvl="1" w:tplc="58788E5C" w:tentative="1">
      <w:start w:val="1"/>
      <w:numFmt w:val="bullet"/>
      <w:lvlText w:val=""/>
      <w:lvlJc w:val="left"/>
      <w:pPr>
        <w:tabs>
          <w:tab w:val="num" w:pos="1440"/>
        </w:tabs>
        <w:ind w:left="1440" w:hanging="360"/>
      </w:pPr>
      <w:rPr>
        <w:rFonts w:ascii="Wingdings 2" w:hAnsi="Wingdings 2" w:hint="default"/>
      </w:rPr>
    </w:lvl>
    <w:lvl w:ilvl="2" w:tplc="DDA0EF74" w:tentative="1">
      <w:start w:val="1"/>
      <w:numFmt w:val="bullet"/>
      <w:lvlText w:val=""/>
      <w:lvlJc w:val="left"/>
      <w:pPr>
        <w:tabs>
          <w:tab w:val="num" w:pos="2160"/>
        </w:tabs>
        <w:ind w:left="2160" w:hanging="360"/>
      </w:pPr>
      <w:rPr>
        <w:rFonts w:ascii="Wingdings 2" w:hAnsi="Wingdings 2" w:hint="default"/>
      </w:rPr>
    </w:lvl>
    <w:lvl w:ilvl="3" w:tplc="D4241380" w:tentative="1">
      <w:start w:val="1"/>
      <w:numFmt w:val="bullet"/>
      <w:lvlText w:val=""/>
      <w:lvlJc w:val="left"/>
      <w:pPr>
        <w:tabs>
          <w:tab w:val="num" w:pos="2880"/>
        </w:tabs>
        <w:ind w:left="2880" w:hanging="360"/>
      </w:pPr>
      <w:rPr>
        <w:rFonts w:ascii="Wingdings 2" w:hAnsi="Wingdings 2" w:hint="default"/>
      </w:rPr>
    </w:lvl>
    <w:lvl w:ilvl="4" w:tplc="632E3742" w:tentative="1">
      <w:start w:val="1"/>
      <w:numFmt w:val="bullet"/>
      <w:lvlText w:val=""/>
      <w:lvlJc w:val="left"/>
      <w:pPr>
        <w:tabs>
          <w:tab w:val="num" w:pos="3600"/>
        </w:tabs>
        <w:ind w:left="3600" w:hanging="360"/>
      </w:pPr>
      <w:rPr>
        <w:rFonts w:ascii="Wingdings 2" w:hAnsi="Wingdings 2" w:hint="default"/>
      </w:rPr>
    </w:lvl>
    <w:lvl w:ilvl="5" w:tplc="68D29F50" w:tentative="1">
      <w:start w:val="1"/>
      <w:numFmt w:val="bullet"/>
      <w:lvlText w:val=""/>
      <w:lvlJc w:val="left"/>
      <w:pPr>
        <w:tabs>
          <w:tab w:val="num" w:pos="4320"/>
        </w:tabs>
        <w:ind w:left="4320" w:hanging="360"/>
      </w:pPr>
      <w:rPr>
        <w:rFonts w:ascii="Wingdings 2" w:hAnsi="Wingdings 2" w:hint="default"/>
      </w:rPr>
    </w:lvl>
    <w:lvl w:ilvl="6" w:tplc="392CB07E" w:tentative="1">
      <w:start w:val="1"/>
      <w:numFmt w:val="bullet"/>
      <w:lvlText w:val=""/>
      <w:lvlJc w:val="left"/>
      <w:pPr>
        <w:tabs>
          <w:tab w:val="num" w:pos="5040"/>
        </w:tabs>
        <w:ind w:left="5040" w:hanging="360"/>
      </w:pPr>
      <w:rPr>
        <w:rFonts w:ascii="Wingdings 2" w:hAnsi="Wingdings 2" w:hint="default"/>
      </w:rPr>
    </w:lvl>
    <w:lvl w:ilvl="7" w:tplc="82F6B5BC" w:tentative="1">
      <w:start w:val="1"/>
      <w:numFmt w:val="bullet"/>
      <w:lvlText w:val=""/>
      <w:lvlJc w:val="left"/>
      <w:pPr>
        <w:tabs>
          <w:tab w:val="num" w:pos="5760"/>
        </w:tabs>
        <w:ind w:left="5760" w:hanging="360"/>
      </w:pPr>
      <w:rPr>
        <w:rFonts w:ascii="Wingdings 2" w:hAnsi="Wingdings 2" w:hint="default"/>
      </w:rPr>
    </w:lvl>
    <w:lvl w:ilvl="8" w:tplc="638A1792"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3137BBD"/>
    <w:multiLevelType w:val="hybridMultilevel"/>
    <w:tmpl w:val="4DE26C5A"/>
    <w:lvl w:ilvl="0" w:tplc="047090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4F40829"/>
    <w:multiLevelType w:val="hybridMultilevel"/>
    <w:tmpl w:val="8B7C997C"/>
    <w:lvl w:ilvl="0" w:tplc="BB1EED90">
      <w:start w:val="1"/>
      <w:numFmt w:val="decimal"/>
      <w:lvlText w:val="%1)"/>
      <w:lvlJc w:val="left"/>
      <w:pPr>
        <w:tabs>
          <w:tab w:val="num" w:pos="720"/>
        </w:tabs>
        <w:ind w:left="720" w:hanging="360"/>
      </w:pPr>
    </w:lvl>
    <w:lvl w:ilvl="1" w:tplc="5412A4C4">
      <w:start w:val="1"/>
      <w:numFmt w:val="decimal"/>
      <w:lvlText w:val="%2)"/>
      <w:lvlJc w:val="left"/>
      <w:pPr>
        <w:tabs>
          <w:tab w:val="num" w:pos="1440"/>
        </w:tabs>
        <w:ind w:left="1440" w:hanging="360"/>
      </w:pPr>
    </w:lvl>
    <w:lvl w:ilvl="2" w:tplc="890C205A" w:tentative="1">
      <w:start w:val="1"/>
      <w:numFmt w:val="decimal"/>
      <w:lvlText w:val="%3)"/>
      <w:lvlJc w:val="left"/>
      <w:pPr>
        <w:tabs>
          <w:tab w:val="num" w:pos="2160"/>
        </w:tabs>
        <w:ind w:left="2160" w:hanging="360"/>
      </w:pPr>
    </w:lvl>
    <w:lvl w:ilvl="3" w:tplc="72AEDB44" w:tentative="1">
      <w:start w:val="1"/>
      <w:numFmt w:val="decimal"/>
      <w:lvlText w:val="%4)"/>
      <w:lvlJc w:val="left"/>
      <w:pPr>
        <w:tabs>
          <w:tab w:val="num" w:pos="2880"/>
        </w:tabs>
        <w:ind w:left="2880" w:hanging="360"/>
      </w:pPr>
    </w:lvl>
    <w:lvl w:ilvl="4" w:tplc="6CE04BEA" w:tentative="1">
      <w:start w:val="1"/>
      <w:numFmt w:val="decimal"/>
      <w:lvlText w:val="%5)"/>
      <w:lvlJc w:val="left"/>
      <w:pPr>
        <w:tabs>
          <w:tab w:val="num" w:pos="3600"/>
        </w:tabs>
        <w:ind w:left="3600" w:hanging="360"/>
      </w:pPr>
    </w:lvl>
    <w:lvl w:ilvl="5" w:tplc="A9AEF220" w:tentative="1">
      <w:start w:val="1"/>
      <w:numFmt w:val="decimal"/>
      <w:lvlText w:val="%6)"/>
      <w:lvlJc w:val="left"/>
      <w:pPr>
        <w:tabs>
          <w:tab w:val="num" w:pos="4320"/>
        </w:tabs>
        <w:ind w:left="4320" w:hanging="360"/>
      </w:pPr>
    </w:lvl>
    <w:lvl w:ilvl="6" w:tplc="72689176" w:tentative="1">
      <w:start w:val="1"/>
      <w:numFmt w:val="decimal"/>
      <w:lvlText w:val="%7)"/>
      <w:lvlJc w:val="left"/>
      <w:pPr>
        <w:tabs>
          <w:tab w:val="num" w:pos="5040"/>
        </w:tabs>
        <w:ind w:left="5040" w:hanging="360"/>
      </w:pPr>
    </w:lvl>
    <w:lvl w:ilvl="7" w:tplc="DE40FBE0" w:tentative="1">
      <w:start w:val="1"/>
      <w:numFmt w:val="decimal"/>
      <w:lvlText w:val="%8)"/>
      <w:lvlJc w:val="left"/>
      <w:pPr>
        <w:tabs>
          <w:tab w:val="num" w:pos="5760"/>
        </w:tabs>
        <w:ind w:left="5760" w:hanging="360"/>
      </w:pPr>
    </w:lvl>
    <w:lvl w:ilvl="8" w:tplc="6D42F9E0" w:tentative="1">
      <w:start w:val="1"/>
      <w:numFmt w:val="decimal"/>
      <w:lvlText w:val="%9)"/>
      <w:lvlJc w:val="left"/>
      <w:pPr>
        <w:tabs>
          <w:tab w:val="num" w:pos="6480"/>
        </w:tabs>
        <w:ind w:left="6480" w:hanging="360"/>
      </w:pPr>
    </w:lvl>
  </w:abstractNum>
  <w:num w:numId="1">
    <w:abstractNumId w:val="27"/>
  </w:num>
  <w:num w:numId="2">
    <w:abstractNumId w:val="22"/>
  </w:num>
  <w:num w:numId="3">
    <w:abstractNumId w:val="30"/>
  </w:num>
  <w:num w:numId="4">
    <w:abstractNumId w:val="17"/>
  </w:num>
  <w:num w:numId="5">
    <w:abstractNumId w:val="25"/>
  </w:num>
  <w:num w:numId="6">
    <w:abstractNumId w:val="28"/>
  </w:num>
  <w:num w:numId="7">
    <w:abstractNumId w:val="13"/>
  </w:num>
  <w:num w:numId="8">
    <w:abstractNumId w:val="16"/>
  </w:num>
  <w:num w:numId="9">
    <w:abstractNumId w:val="20"/>
  </w:num>
  <w:num w:numId="10">
    <w:abstractNumId w:val="10"/>
  </w:num>
  <w:num w:numId="11">
    <w:abstractNumId w:val="11"/>
  </w:num>
  <w:num w:numId="12">
    <w:abstractNumId w:val="18"/>
  </w:num>
  <w:num w:numId="13">
    <w:abstractNumId w:val="24"/>
  </w:num>
  <w:num w:numId="14">
    <w:abstractNumId w:val="21"/>
  </w:num>
  <w:num w:numId="15">
    <w:abstractNumId w:val="19"/>
  </w:num>
  <w:num w:numId="16">
    <w:abstractNumId w:val="15"/>
  </w:num>
  <w:num w:numId="17">
    <w:abstractNumId w:val="29"/>
  </w:num>
  <w:num w:numId="18">
    <w:abstractNumId w:val="23"/>
  </w:num>
  <w:num w:numId="19">
    <w:abstractNumId w:val="12"/>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7D"/>
    <w:rsid w:val="00013D7D"/>
    <w:rsid w:val="00026B67"/>
    <w:rsid w:val="00033484"/>
    <w:rsid w:val="00042EB3"/>
    <w:rsid w:val="00056C97"/>
    <w:rsid w:val="00066D77"/>
    <w:rsid w:val="0009590D"/>
    <w:rsid w:val="000A4B03"/>
    <w:rsid w:val="000A6768"/>
    <w:rsid w:val="000A6DCC"/>
    <w:rsid w:val="000C0E1A"/>
    <w:rsid w:val="000C6AD5"/>
    <w:rsid w:val="000F1057"/>
    <w:rsid w:val="00101A30"/>
    <w:rsid w:val="00110676"/>
    <w:rsid w:val="00111776"/>
    <w:rsid w:val="001122E8"/>
    <w:rsid w:val="00135874"/>
    <w:rsid w:val="00142312"/>
    <w:rsid w:val="00157B7B"/>
    <w:rsid w:val="001716B0"/>
    <w:rsid w:val="001800C4"/>
    <w:rsid w:val="00185F19"/>
    <w:rsid w:val="00187D5C"/>
    <w:rsid w:val="00193348"/>
    <w:rsid w:val="0019567F"/>
    <w:rsid w:val="001A65CA"/>
    <w:rsid w:val="001B5C34"/>
    <w:rsid w:val="001C1CAF"/>
    <w:rsid w:val="001E5782"/>
    <w:rsid w:val="001E5A63"/>
    <w:rsid w:val="001E5A75"/>
    <w:rsid w:val="0021395C"/>
    <w:rsid w:val="00221DF2"/>
    <w:rsid w:val="00226BF8"/>
    <w:rsid w:val="00237583"/>
    <w:rsid w:val="00240CDE"/>
    <w:rsid w:val="0024484B"/>
    <w:rsid w:val="002533B9"/>
    <w:rsid w:val="00254F3B"/>
    <w:rsid w:val="00281612"/>
    <w:rsid w:val="00281D31"/>
    <w:rsid w:val="0028222D"/>
    <w:rsid w:val="00283D47"/>
    <w:rsid w:val="00287B48"/>
    <w:rsid w:val="00294410"/>
    <w:rsid w:val="002A3F9F"/>
    <w:rsid w:val="002A50D3"/>
    <w:rsid w:val="002B2F16"/>
    <w:rsid w:val="002B406A"/>
    <w:rsid w:val="002C0C20"/>
    <w:rsid w:val="002C5B12"/>
    <w:rsid w:val="002C7898"/>
    <w:rsid w:val="002E3B83"/>
    <w:rsid w:val="002F4EAB"/>
    <w:rsid w:val="003028FC"/>
    <w:rsid w:val="00307309"/>
    <w:rsid w:val="003100E6"/>
    <w:rsid w:val="00311B15"/>
    <w:rsid w:val="003131D8"/>
    <w:rsid w:val="003312DC"/>
    <w:rsid w:val="00337AEA"/>
    <w:rsid w:val="00352D60"/>
    <w:rsid w:val="00362CF1"/>
    <w:rsid w:val="00366BA7"/>
    <w:rsid w:val="003670A2"/>
    <w:rsid w:val="00373EA8"/>
    <w:rsid w:val="003752C6"/>
    <w:rsid w:val="0037593E"/>
    <w:rsid w:val="00377AE5"/>
    <w:rsid w:val="00380828"/>
    <w:rsid w:val="00383DF3"/>
    <w:rsid w:val="00386763"/>
    <w:rsid w:val="003A480A"/>
    <w:rsid w:val="003A6829"/>
    <w:rsid w:val="003A7B98"/>
    <w:rsid w:val="003B6DD1"/>
    <w:rsid w:val="003E1BD7"/>
    <w:rsid w:val="003E5513"/>
    <w:rsid w:val="003F40E7"/>
    <w:rsid w:val="00400F3C"/>
    <w:rsid w:val="004228D9"/>
    <w:rsid w:val="00427B37"/>
    <w:rsid w:val="00440BFB"/>
    <w:rsid w:val="0044177E"/>
    <w:rsid w:val="00446BBD"/>
    <w:rsid w:val="0045126B"/>
    <w:rsid w:val="0045423C"/>
    <w:rsid w:val="00456272"/>
    <w:rsid w:val="00491462"/>
    <w:rsid w:val="004A1A53"/>
    <w:rsid w:val="004A3BE6"/>
    <w:rsid w:val="004A3C87"/>
    <w:rsid w:val="004A7BE0"/>
    <w:rsid w:val="004B4E8F"/>
    <w:rsid w:val="004B7E1A"/>
    <w:rsid w:val="004C0CFE"/>
    <w:rsid w:val="004C319D"/>
    <w:rsid w:val="004E0750"/>
    <w:rsid w:val="004E25C1"/>
    <w:rsid w:val="004F2E8A"/>
    <w:rsid w:val="004F42F4"/>
    <w:rsid w:val="00500255"/>
    <w:rsid w:val="005058D8"/>
    <w:rsid w:val="00513F0C"/>
    <w:rsid w:val="005337CB"/>
    <w:rsid w:val="0053504B"/>
    <w:rsid w:val="00536705"/>
    <w:rsid w:val="0053787D"/>
    <w:rsid w:val="00544A08"/>
    <w:rsid w:val="005461D5"/>
    <w:rsid w:val="0056485A"/>
    <w:rsid w:val="00570EDD"/>
    <w:rsid w:val="00572EA5"/>
    <w:rsid w:val="005748D4"/>
    <w:rsid w:val="00576BFD"/>
    <w:rsid w:val="005956F8"/>
    <w:rsid w:val="005977E4"/>
    <w:rsid w:val="005A1452"/>
    <w:rsid w:val="005A33B3"/>
    <w:rsid w:val="005A6880"/>
    <w:rsid w:val="005C235B"/>
    <w:rsid w:val="005C7BDC"/>
    <w:rsid w:val="005D2995"/>
    <w:rsid w:val="005D33BA"/>
    <w:rsid w:val="005D4D1E"/>
    <w:rsid w:val="005E0978"/>
    <w:rsid w:val="005E3E24"/>
    <w:rsid w:val="005E4EF1"/>
    <w:rsid w:val="005E5AA8"/>
    <w:rsid w:val="005E6737"/>
    <w:rsid w:val="005F62AB"/>
    <w:rsid w:val="005F6681"/>
    <w:rsid w:val="00601AF4"/>
    <w:rsid w:val="00613064"/>
    <w:rsid w:val="006232C2"/>
    <w:rsid w:val="006419E1"/>
    <w:rsid w:val="00647D1E"/>
    <w:rsid w:val="00660B12"/>
    <w:rsid w:val="006713C1"/>
    <w:rsid w:val="00676AF8"/>
    <w:rsid w:val="00681C0D"/>
    <w:rsid w:val="00690362"/>
    <w:rsid w:val="006D5EDF"/>
    <w:rsid w:val="006E2668"/>
    <w:rsid w:val="006E6696"/>
    <w:rsid w:val="006F7775"/>
    <w:rsid w:val="00702B60"/>
    <w:rsid w:val="00703707"/>
    <w:rsid w:val="00707D08"/>
    <w:rsid w:val="00717423"/>
    <w:rsid w:val="0072254E"/>
    <w:rsid w:val="00722EEF"/>
    <w:rsid w:val="0072591D"/>
    <w:rsid w:val="0074029A"/>
    <w:rsid w:val="00750972"/>
    <w:rsid w:val="00770B64"/>
    <w:rsid w:val="007758A8"/>
    <w:rsid w:val="0077757D"/>
    <w:rsid w:val="00783F10"/>
    <w:rsid w:val="007917A6"/>
    <w:rsid w:val="00797A8E"/>
    <w:rsid w:val="007C51D0"/>
    <w:rsid w:val="007C754D"/>
    <w:rsid w:val="007F3DA8"/>
    <w:rsid w:val="007F57E6"/>
    <w:rsid w:val="00803A4E"/>
    <w:rsid w:val="00803AFF"/>
    <w:rsid w:val="008050FB"/>
    <w:rsid w:val="008169F8"/>
    <w:rsid w:val="00836CAB"/>
    <w:rsid w:val="008578AE"/>
    <w:rsid w:val="00860B6E"/>
    <w:rsid w:val="00866E0F"/>
    <w:rsid w:val="00882447"/>
    <w:rsid w:val="008875A8"/>
    <w:rsid w:val="00897A71"/>
    <w:rsid w:val="008A232E"/>
    <w:rsid w:val="008A4864"/>
    <w:rsid w:val="008B5A62"/>
    <w:rsid w:val="008B6F3C"/>
    <w:rsid w:val="008D20FC"/>
    <w:rsid w:val="008E7B66"/>
    <w:rsid w:val="008F3E4C"/>
    <w:rsid w:val="0090203D"/>
    <w:rsid w:val="009052C4"/>
    <w:rsid w:val="009101E0"/>
    <w:rsid w:val="00917BD0"/>
    <w:rsid w:val="0093393C"/>
    <w:rsid w:val="00941091"/>
    <w:rsid w:val="00945F77"/>
    <w:rsid w:val="009473F7"/>
    <w:rsid w:val="00955564"/>
    <w:rsid w:val="0096003D"/>
    <w:rsid w:val="009719F6"/>
    <w:rsid w:val="00982BDA"/>
    <w:rsid w:val="00986536"/>
    <w:rsid w:val="009B28F5"/>
    <w:rsid w:val="009C22AA"/>
    <w:rsid w:val="009C2DD2"/>
    <w:rsid w:val="009C621B"/>
    <w:rsid w:val="009C711F"/>
    <w:rsid w:val="009D0D80"/>
    <w:rsid w:val="009D3990"/>
    <w:rsid w:val="009D526E"/>
    <w:rsid w:val="009F3944"/>
    <w:rsid w:val="009F675A"/>
    <w:rsid w:val="00A04841"/>
    <w:rsid w:val="00A1565C"/>
    <w:rsid w:val="00A168C0"/>
    <w:rsid w:val="00A31A8C"/>
    <w:rsid w:val="00A41DDC"/>
    <w:rsid w:val="00A46030"/>
    <w:rsid w:val="00A52263"/>
    <w:rsid w:val="00A531CB"/>
    <w:rsid w:val="00A56A20"/>
    <w:rsid w:val="00A62100"/>
    <w:rsid w:val="00A647B2"/>
    <w:rsid w:val="00A65D86"/>
    <w:rsid w:val="00A86FA3"/>
    <w:rsid w:val="00A954F9"/>
    <w:rsid w:val="00AA6666"/>
    <w:rsid w:val="00AC06F4"/>
    <w:rsid w:val="00AC0AF8"/>
    <w:rsid w:val="00AC1EBE"/>
    <w:rsid w:val="00AC585C"/>
    <w:rsid w:val="00AE0E76"/>
    <w:rsid w:val="00B00C26"/>
    <w:rsid w:val="00B030B2"/>
    <w:rsid w:val="00B137DB"/>
    <w:rsid w:val="00B21342"/>
    <w:rsid w:val="00B21C0C"/>
    <w:rsid w:val="00B267FB"/>
    <w:rsid w:val="00B33280"/>
    <w:rsid w:val="00B50D26"/>
    <w:rsid w:val="00B5177F"/>
    <w:rsid w:val="00B76216"/>
    <w:rsid w:val="00B84EA5"/>
    <w:rsid w:val="00B87D06"/>
    <w:rsid w:val="00BB258E"/>
    <w:rsid w:val="00BB2605"/>
    <w:rsid w:val="00BB3B09"/>
    <w:rsid w:val="00BB43DA"/>
    <w:rsid w:val="00BC3FA3"/>
    <w:rsid w:val="00C1042C"/>
    <w:rsid w:val="00C15C68"/>
    <w:rsid w:val="00C23081"/>
    <w:rsid w:val="00C34298"/>
    <w:rsid w:val="00C349FD"/>
    <w:rsid w:val="00C3546C"/>
    <w:rsid w:val="00C3576A"/>
    <w:rsid w:val="00C42918"/>
    <w:rsid w:val="00C434A2"/>
    <w:rsid w:val="00C51FEC"/>
    <w:rsid w:val="00C61B1A"/>
    <w:rsid w:val="00C62C75"/>
    <w:rsid w:val="00C7523F"/>
    <w:rsid w:val="00C97DFE"/>
    <w:rsid w:val="00CA2B45"/>
    <w:rsid w:val="00CA6FCD"/>
    <w:rsid w:val="00CB5338"/>
    <w:rsid w:val="00CB5E96"/>
    <w:rsid w:val="00CC274B"/>
    <w:rsid w:val="00CC31DD"/>
    <w:rsid w:val="00CC3D5F"/>
    <w:rsid w:val="00CD31DA"/>
    <w:rsid w:val="00CE636E"/>
    <w:rsid w:val="00CF4E23"/>
    <w:rsid w:val="00CF7C3C"/>
    <w:rsid w:val="00D01CA8"/>
    <w:rsid w:val="00D04F8B"/>
    <w:rsid w:val="00D2229A"/>
    <w:rsid w:val="00D25262"/>
    <w:rsid w:val="00D3313F"/>
    <w:rsid w:val="00D437DE"/>
    <w:rsid w:val="00D53859"/>
    <w:rsid w:val="00D56012"/>
    <w:rsid w:val="00D71753"/>
    <w:rsid w:val="00D71939"/>
    <w:rsid w:val="00D8698F"/>
    <w:rsid w:val="00D90C11"/>
    <w:rsid w:val="00D923FB"/>
    <w:rsid w:val="00D96527"/>
    <w:rsid w:val="00DA39B2"/>
    <w:rsid w:val="00DA5AF0"/>
    <w:rsid w:val="00DA5E83"/>
    <w:rsid w:val="00DA6C45"/>
    <w:rsid w:val="00DC2586"/>
    <w:rsid w:val="00DC402D"/>
    <w:rsid w:val="00DC59AA"/>
    <w:rsid w:val="00DD7E24"/>
    <w:rsid w:val="00DE4E65"/>
    <w:rsid w:val="00DE7F85"/>
    <w:rsid w:val="00E17683"/>
    <w:rsid w:val="00E54E88"/>
    <w:rsid w:val="00E66770"/>
    <w:rsid w:val="00E717FE"/>
    <w:rsid w:val="00E76931"/>
    <w:rsid w:val="00E77D50"/>
    <w:rsid w:val="00E80A39"/>
    <w:rsid w:val="00E828A1"/>
    <w:rsid w:val="00E87A6B"/>
    <w:rsid w:val="00E90A41"/>
    <w:rsid w:val="00E931A4"/>
    <w:rsid w:val="00E9591A"/>
    <w:rsid w:val="00E97E70"/>
    <w:rsid w:val="00EA6513"/>
    <w:rsid w:val="00EA675C"/>
    <w:rsid w:val="00EB02F6"/>
    <w:rsid w:val="00EB0F0C"/>
    <w:rsid w:val="00EC1092"/>
    <w:rsid w:val="00EC36F7"/>
    <w:rsid w:val="00EE02BA"/>
    <w:rsid w:val="00EE3E0A"/>
    <w:rsid w:val="00EF612A"/>
    <w:rsid w:val="00F065E8"/>
    <w:rsid w:val="00F06CAC"/>
    <w:rsid w:val="00F10C48"/>
    <w:rsid w:val="00F25C3D"/>
    <w:rsid w:val="00F2630E"/>
    <w:rsid w:val="00F4298C"/>
    <w:rsid w:val="00F51610"/>
    <w:rsid w:val="00F6682A"/>
    <w:rsid w:val="00F67AFC"/>
    <w:rsid w:val="00F73032"/>
    <w:rsid w:val="00FA728B"/>
    <w:rsid w:val="00FB22DA"/>
    <w:rsid w:val="00FC6A67"/>
    <w:rsid w:val="00FD012F"/>
    <w:rsid w:val="00FD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6B6E89"/>
  <w15:chartTrackingRefBased/>
  <w15:docId w15:val="{1B3D47AB-404B-4720-8CB4-46F93A0E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65C"/>
    <w:rPr>
      <w:sz w:val="24"/>
      <w:szCs w:val="24"/>
    </w:rPr>
  </w:style>
  <w:style w:type="paragraph" w:styleId="Heading1">
    <w:name w:val="heading 1"/>
    <w:basedOn w:val="Normal"/>
    <w:qFormat/>
    <w:rsid w:val="001716B0"/>
    <w:pPr>
      <w:jc w:val="center"/>
      <w:outlineLvl w:val="0"/>
    </w:pPr>
    <w:rPr>
      <w:b/>
      <w:sz w:val="22"/>
      <w:szCs w:val="22"/>
    </w:rPr>
  </w:style>
  <w:style w:type="paragraph" w:styleId="Heading2">
    <w:name w:val="heading 2"/>
    <w:basedOn w:val="Normal"/>
    <w:next w:val="Normal"/>
    <w:link w:val="Heading2Char"/>
    <w:uiPriority w:val="9"/>
    <w:unhideWhenUsed/>
    <w:qFormat/>
    <w:rsid w:val="00E77D50"/>
    <w:pPr>
      <w:outlineLvl w:val="1"/>
    </w:pPr>
    <w:rPr>
      <w:b/>
      <w:sz w:val="22"/>
      <w:szCs w:val="22"/>
    </w:rPr>
  </w:style>
  <w:style w:type="paragraph" w:styleId="Heading4">
    <w:name w:val="heading 4"/>
    <w:basedOn w:val="Normal"/>
    <w:next w:val="Normal"/>
    <w:qFormat/>
    <w:rsid w:val="00797A8E"/>
    <w:pPr>
      <w:keepNext/>
      <w:spacing w:before="240" w:after="60"/>
      <w:outlineLvl w:val="3"/>
    </w:pPr>
    <w:rPr>
      <w:b/>
      <w:bCs/>
      <w:sz w:val="28"/>
      <w:szCs w:val="28"/>
    </w:rPr>
  </w:style>
  <w:style w:type="paragraph" w:styleId="Heading5">
    <w:name w:val="heading 5"/>
    <w:basedOn w:val="Normal"/>
    <w:next w:val="Normal"/>
    <w:qFormat/>
    <w:rsid w:val="00797A8E"/>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E3E24"/>
    <w:pPr>
      <w:autoSpaceDE w:val="0"/>
      <w:autoSpaceDN w:val="0"/>
      <w:adjustRightInd w:val="0"/>
    </w:pPr>
    <w:rPr>
      <w:color w:val="000000"/>
      <w:sz w:val="24"/>
      <w:szCs w:val="24"/>
    </w:rPr>
  </w:style>
  <w:style w:type="character" w:styleId="Hyperlink">
    <w:name w:val="Hyperlink"/>
    <w:basedOn w:val="DefaultParagraphFont"/>
    <w:rsid w:val="005E3E24"/>
    <w:rPr>
      <w:color w:val="0000FF"/>
      <w:u w:val="single"/>
    </w:rPr>
  </w:style>
  <w:style w:type="paragraph" w:styleId="FootnoteText">
    <w:name w:val="footnote text"/>
    <w:basedOn w:val="Normal"/>
    <w:semiHidden/>
    <w:rsid w:val="005C235B"/>
    <w:rPr>
      <w:sz w:val="20"/>
      <w:szCs w:val="20"/>
    </w:rPr>
  </w:style>
  <w:style w:type="character" w:styleId="FootnoteReference">
    <w:name w:val="footnote reference"/>
    <w:basedOn w:val="DefaultParagraphFont"/>
    <w:semiHidden/>
    <w:rsid w:val="005C235B"/>
    <w:rPr>
      <w:vertAlign w:val="superscript"/>
    </w:rPr>
  </w:style>
  <w:style w:type="paragraph" w:styleId="EndnoteText">
    <w:name w:val="endnote text"/>
    <w:basedOn w:val="Normal"/>
    <w:semiHidden/>
    <w:rsid w:val="00B84EA5"/>
    <w:rPr>
      <w:sz w:val="20"/>
      <w:szCs w:val="20"/>
    </w:rPr>
  </w:style>
  <w:style w:type="character" w:styleId="EndnoteReference">
    <w:name w:val="endnote reference"/>
    <w:basedOn w:val="DefaultParagraphFont"/>
    <w:semiHidden/>
    <w:rsid w:val="00B84EA5"/>
    <w:rPr>
      <w:vertAlign w:val="superscript"/>
    </w:rPr>
  </w:style>
  <w:style w:type="character" w:styleId="CommentReference">
    <w:name w:val="annotation reference"/>
    <w:basedOn w:val="DefaultParagraphFont"/>
    <w:semiHidden/>
    <w:rsid w:val="00400F3C"/>
    <w:rPr>
      <w:sz w:val="16"/>
      <w:szCs w:val="16"/>
    </w:rPr>
  </w:style>
  <w:style w:type="paragraph" w:styleId="CommentText">
    <w:name w:val="annotation text"/>
    <w:basedOn w:val="Normal"/>
    <w:semiHidden/>
    <w:rsid w:val="00400F3C"/>
    <w:rPr>
      <w:sz w:val="20"/>
      <w:szCs w:val="20"/>
    </w:rPr>
  </w:style>
  <w:style w:type="paragraph" w:styleId="CommentSubject">
    <w:name w:val="annotation subject"/>
    <w:basedOn w:val="CommentText"/>
    <w:next w:val="CommentText"/>
    <w:semiHidden/>
    <w:rsid w:val="00400F3C"/>
    <w:rPr>
      <w:b/>
      <w:bCs/>
    </w:rPr>
  </w:style>
  <w:style w:type="paragraph" w:styleId="BalloonText">
    <w:name w:val="Balloon Text"/>
    <w:basedOn w:val="Normal"/>
    <w:semiHidden/>
    <w:rsid w:val="00400F3C"/>
    <w:rPr>
      <w:rFonts w:ascii="Tahoma" w:hAnsi="Tahoma" w:cs="Tahoma"/>
      <w:sz w:val="16"/>
      <w:szCs w:val="16"/>
    </w:rPr>
  </w:style>
  <w:style w:type="character" w:styleId="FollowedHyperlink">
    <w:name w:val="FollowedHyperlink"/>
    <w:basedOn w:val="DefaultParagraphFont"/>
    <w:rsid w:val="007F57E6"/>
    <w:rPr>
      <w:color w:val="800080"/>
      <w:u w:val="single"/>
    </w:rPr>
  </w:style>
  <w:style w:type="table" w:styleId="TableGrid">
    <w:name w:val="Table Grid"/>
    <w:basedOn w:val="TableNormal"/>
    <w:rsid w:val="00C75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rsid w:val="009C621B"/>
    <w:pPr>
      <w:spacing w:before="100" w:beforeAutospacing="1" w:after="100" w:afterAutospacing="1"/>
    </w:pPr>
  </w:style>
  <w:style w:type="paragraph" w:customStyle="1" w:styleId="aff">
    <w:name w:val="aff"/>
    <w:basedOn w:val="Normal"/>
    <w:rsid w:val="009C621B"/>
    <w:pPr>
      <w:spacing w:before="100" w:beforeAutospacing="1" w:after="100" w:afterAutospacing="1"/>
    </w:pPr>
  </w:style>
  <w:style w:type="paragraph" w:customStyle="1" w:styleId="authlist">
    <w:name w:val="auth_list"/>
    <w:basedOn w:val="Normal"/>
    <w:rsid w:val="009C621B"/>
    <w:pPr>
      <w:spacing w:before="100" w:beforeAutospacing="1" w:after="100" w:afterAutospacing="1"/>
    </w:pPr>
  </w:style>
  <w:style w:type="paragraph" w:styleId="NormalWeb">
    <w:name w:val="Normal (Web)"/>
    <w:basedOn w:val="Normal"/>
    <w:rsid w:val="005977E4"/>
    <w:pPr>
      <w:spacing w:before="100" w:beforeAutospacing="1" w:after="100" w:afterAutospacing="1"/>
    </w:pPr>
    <w:rPr>
      <w:rFonts w:ascii="Arial" w:hAnsi="Arial" w:cs="Arial"/>
      <w:color w:val="000000"/>
      <w:sz w:val="23"/>
      <w:szCs w:val="23"/>
    </w:rPr>
  </w:style>
  <w:style w:type="paragraph" w:styleId="Header">
    <w:name w:val="header"/>
    <w:basedOn w:val="Normal"/>
    <w:rsid w:val="00E87A6B"/>
    <w:pPr>
      <w:tabs>
        <w:tab w:val="center" w:pos="4320"/>
        <w:tab w:val="right" w:pos="8640"/>
      </w:tabs>
    </w:pPr>
  </w:style>
  <w:style w:type="character" w:styleId="PageNumber">
    <w:name w:val="page number"/>
    <w:basedOn w:val="DefaultParagraphFont"/>
    <w:rsid w:val="00E87A6B"/>
  </w:style>
  <w:style w:type="paragraph" w:styleId="ListParagraph">
    <w:name w:val="List Paragraph"/>
    <w:basedOn w:val="Normal"/>
    <w:uiPriority w:val="34"/>
    <w:qFormat/>
    <w:rsid w:val="004E25C1"/>
    <w:pPr>
      <w:ind w:left="720"/>
      <w:contextualSpacing/>
    </w:pPr>
  </w:style>
  <w:style w:type="character" w:customStyle="1" w:styleId="Heading2Char">
    <w:name w:val="Heading 2 Char"/>
    <w:basedOn w:val="DefaultParagraphFont"/>
    <w:link w:val="Heading2"/>
    <w:uiPriority w:val="9"/>
    <w:rsid w:val="00E77D50"/>
    <w:rPr>
      <w:b/>
      <w:sz w:val="22"/>
      <w:szCs w:val="22"/>
    </w:rPr>
  </w:style>
  <w:style w:type="character" w:styleId="UnresolvedMention">
    <w:name w:val="Unresolved Mention"/>
    <w:basedOn w:val="DefaultParagraphFont"/>
    <w:uiPriority w:val="99"/>
    <w:semiHidden/>
    <w:unhideWhenUsed/>
    <w:rsid w:val="00CC3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7118">
      <w:bodyDiv w:val="1"/>
      <w:marLeft w:val="0"/>
      <w:marRight w:val="0"/>
      <w:marTop w:val="0"/>
      <w:marBottom w:val="0"/>
      <w:divBdr>
        <w:top w:val="none" w:sz="0" w:space="0" w:color="auto"/>
        <w:left w:val="none" w:sz="0" w:space="0" w:color="auto"/>
        <w:bottom w:val="none" w:sz="0" w:space="0" w:color="auto"/>
        <w:right w:val="none" w:sz="0" w:space="0" w:color="auto"/>
      </w:divBdr>
      <w:divsChild>
        <w:div w:id="25065848">
          <w:marLeft w:val="0"/>
          <w:marRight w:val="0"/>
          <w:marTop w:val="0"/>
          <w:marBottom w:val="0"/>
          <w:divBdr>
            <w:top w:val="none" w:sz="0" w:space="0" w:color="auto"/>
            <w:left w:val="none" w:sz="0" w:space="0" w:color="auto"/>
            <w:bottom w:val="none" w:sz="0" w:space="0" w:color="auto"/>
            <w:right w:val="none" w:sz="0" w:space="0" w:color="auto"/>
          </w:divBdr>
        </w:div>
        <w:div w:id="2137982857">
          <w:marLeft w:val="0"/>
          <w:marRight w:val="0"/>
          <w:marTop w:val="0"/>
          <w:marBottom w:val="0"/>
          <w:divBdr>
            <w:top w:val="none" w:sz="0" w:space="0" w:color="auto"/>
            <w:left w:val="none" w:sz="0" w:space="0" w:color="auto"/>
            <w:bottom w:val="none" w:sz="0" w:space="0" w:color="auto"/>
            <w:right w:val="none" w:sz="0" w:space="0" w:color="auto"/>
          </w:divBdr>
          <w:divsChild>
            <w:div w:id="2144929128">
              <w:marLeft w:val="0"/>
              <w:marRight w:val="0"/>
              <w:marTop w:val="0"/>
              <w:marBottom w:val="0"/>
              <w:divBdr>
                <w:top w:val="none" w:sz="0" w:space="0" w:color="auto"/>
                <w:left w:val="none" w:sz="0" w:space="0" w:color="auto"/>
                <w:bottom w:val="none" w:sz="0" w:space="0" w:color="auto"/>
                <w:right w:val="none" w:sz="0" w:space="0" w:color="auto"/>
              </w:divBdr>
              <w:divsChild>
                <w:div w:id="347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8009">
      <w:bodyDiv w:val="1"/>
      <w:marLeft w:val="0"/>
      <w:marRight w:val="0"/>
      <w:marTop w:val="0"/>
      <w:marBottom w:val="0"/>
      <w:divBdr>
        <w:top w:val="none" w:sz="0" w:space="0" w:color="auto"/>
        <w:left w:val="none" w:sz="0" w:space="0" w:color="auto"/>
        <w:bottom w:val="none" w:sz="0" w:space="0" w:color="auto"/>
        <w:right w:val="none" w:sz="0" w:space="0" w:color="auto"/>
      </w:divBdr>
      <w:divsChild>
        <w:div w:id="951088188">
          <w:marLeft w:val="1440"/>
          <w:marRight w:val="0"/>
          <w:marTop w:val="115"/>
          <w:marBottom w:val="0"/>
          <w:divBdr>
            <w:top w:val="none" w:sz="0" w:space="0" w:color="auto"/>
            <w:left w:val="none" w:sz="0" w:space="0" w:color="auto"/>
            <w:bottom w:val="none" w:sz="0" w:space="0" w:color="auto"/>
            <w:right w:val="none" w:sz="0" w:space="0" w:color="auto"/>
          </w:divBdr>
        </w:div>
        <w:div w:id="1052656527">
          <w:marLeft w:val="1440"/>
          <w:marRight w:val="0"/>
          <w:marTop w:val="115"/>
          <w:marBottom w:val="0"/>
          <w:divBdr>
            <w:top w:val="none" w:sz="0" w:space="0" w:color="auto"/>
            <w:left w:val="none" w:sz="0" w:space="0" w:color="auto"/>
            <w:bottom w:val="none" w:sz="0" w:space="0" w:color="auto"/>
            <w:right w:val="none" w:sz="0" w:space="0" w:color="auto"/>
          </w:divBdr>
        </w:div>
        <w:div w:id="1248803327">
          <w:marLeft w:val="1440"/>
          <w:marRight w:val="0"/>
          <w:marTop w:val="115"/>
          <w:marBottom w:val="0"/>
          <w:divBdr>
            <w:top w:val="none" w:sz="0" w:space="0" w:color="auto"/>
            <w:left w:val="none" w:sz="0" w:space="0" w:color="auto"/>
            <w:bottom w:val="none" w:sz="0" w:space="0" w:color="auto"/>
            <w:right w:val="none" w:sz="0" w:space="0" w:color="auto"/>
          </w:divBdr>
        </w:div>
        <w:div w:id="2047749474">
          <w:marLeft w:val="1440"/>
          <w:marRight w:val="0"/>
          <w:marTop w:val="115"/>
          <w:marBottom w:val="0"/>
          <w:divBdr>
            <w:top w:val="none" w:sz="0" w:space="0" w:color="auto"/>
            <w:left w:val="none" w:sz="0" w:space="0" w:color="auto"/>
            <w:bottom w:val="none" w:sz="0" w:space="0" w:color="auto"/>
            <w:right w:val="none" w:sz="0" w:space="0" w:color="auto"/>
          </w:divBdr>
        </w:div>
      </w:divsChild>
    </w:div>
    <w:div w:id="615215279">
      <w:bodyDiv w:val="1"/>
      <w:marLeft w:val="0"/>
      <w:marRight w:val="0"/>
      <w:marTop w:val="0"/>
      <w:marBottom w:val="0"/>
      <w:divBdr>
        <w:top w:val="none" w:sz="0" w:space="0" w:color="auto"/>
        <w:left w:val="none" w:sz="0" w:space="0" w:color="auto"/>
        <w:bottom w:val="none" w:sz="0" w:space="0" w:color="auto"/>
        <w:right w:val="none" w:sz="0" w:space="0" w:color="auto"/>
      </w:divBdr>
      <w:divsChild>
        <w:div w:id="311368188">
          <w:marLeft w:val="1440"/>
          <w:marRight w:val="0"/>
          <w:marTop w:val="96"/>
          <w:marBottom w:val="0"/>
          <w:divBdr>
            <w:top w:val="none" w:sz="0" w:space="0" w:color="auto"/>
            <w:left w:val="none" w:sz="0" w:space="0" w:color="auto"/>
            <w:bottom w:val="none" w:sz="0" w:space="0" w:color="auto"/>
            <w:right w:val="none" w:sz="0" w:space="0" w:color="auto"/>
          </w:divBdr>
        </w:div>
        <w:div w:id="862477727">
          <w:marLeft w:val="1440"/>
          <w:marRight w:val="0"/>
          <w:marTop w:val="96"/>
          <w:marBottom w:val="0"/>
          <w:divBdr>
            <w:top w:val="none" w:sz="0" w:space="0" w:color="auto"/>
            <w:left w:val="none" w:sz="0" w:space="0" w:color="auto"/>
            <w:bottom w:val="none" w:sz="0" w:space="0" w:color="auto"/>
            <w:right w:val="none" w:sz="0" w:space="0" w:color="auto"/>
          </w:divBdr>
        </w:div>
        <w:div w:id="1249996396">
          <w:marLeft w:val="1440"/>
          <w:marRight w:val="0"/>
          <w:marTop w:val="96"/>
          <w:marBottom w:val="0"/>
          <w:divBdr>
            <w:top w:val="none" w:sz="0" w:space="0" w:color="auto"/>
            <w:left w:val="none" w:sz="0" w:space="0" w:color="auto"/>
            <w:bottom w:val="none" w:sz="0" w:space="0" w:color="auto"/>
            <w:right w:val="none" w:sz="0" w:space="0" w:color="auto"/>
          </w:divBdr>
        </w:div>
        <w:div w:id="1303775847">
          <w:marLeft w:val="1440"/>
          <w:marRight w:val="0"/>
          <w:marTop w:val="96"/>
          <w:marBottom w:val="0"/>
          <w:divBdr>
            <w:top w:val="none" w:sz="0" w:space="0" w:color="auto"/>
            <w:left w:val="none" w:sz="0" w:space="0" w:color="auto"/>
            <w:bottom w:val="none" w:sz="0" w:space="0" w:color="auto"/>
            <w:right w:val="none" w:sz="0" w:space="0" w:color="auto"/>
          </w:divBdr>
        </w:div>
        <w:div w:id="1446660518">
          <w:marLeft w:val="1440"/>
          <w:marRight w:val="0"/>
          <w:marTop w:val="96"/>
          <w:marBottom w:val="0"/>
          <w:divBdr>
            <w:top w:val="none" w:sz="0" w:space="0" w:color="auto"/>
            <w:left w:val="none" w:sz="0" w:space="0" w:color="auto"/>
            <w:bottom w:val="none" w:sz="0" w:space="0" w:color="auto"/>
            <w:right w:val="none" w:sz="0" w:space="0" w:color="auto"/>
          </w:divBdr>
        </w:div>
      </w:divsChild>
    </w:div>
    <w:div w:id="706831050">
      <w:bodyDiv w:val="1"/>
      <w:marLeft w:val="225"/>
      <w:marRight w:val="225"/>
      <w:marTop w:val="225"/>
      <w:marBottom w:val="225"/>
      <w:divBdr>
        <w:top w:val="none" w:sz="0" w:space="0" w:color="auto"/>
        <w:left w:val="none" w:sz="0" w:space="0" w:color="auto"/>
        <w:bottom w:val="none" w:sz="0" w:space="0" w:color="auto"/>
        <w:right w:val="none" w:sz="0" w:space="0" w:color="auto"/>
      </w:divBdr>
    </w:div>
    <w:div w:id="874343135">
      <w:bodyDiv w:val="1"/>
      <w:marLeft w:val="0"/>
      <w:marRight w:val="0"/>
      <w:marTop w:val="0"/>
      <w:marBottom w:val="0"/>
      <w:divBdr>
        <w:top w:val="none" w:sz="0" w:space="0" w:color="auto"/>
        <w:left w:val="none" w:sz="0" w:space="0" w:color="auto"/>
        <w:bottom w:val="none" w:sz="0" w:space="0" w:color="auto"/>
        <w:right w:val="none" w:sz="0" w:space="0" w:color="auto"/>
      </w:divBdr>
      <w:divsChild>
        <w:div w:id="1401096511">
          <w:marLeft w:val="0"/>
          <w:marRight w:val="0"/>
          <w:marTop w:val="0"/>
          <w:marBottom w:val="0"/>
          <w:divBdr>
            <w:top w:val="none" w:sz="0" w:space="0" w:color="auto"/>
            <w:left w:val="none" w:sz="0" w:space="0" w:color="auto"/>
            <w:bottom w:val="none" w:sz="0" w:space="0" w:color="auto"/>
            <w:right w:val="none" w:sz="0" w:space="0" w:color="auto"/>
          </w:divBdr>
          <w:divsChild>
            <w:div w:id="799107372">
              <w:marLeft w:val="0"/>
              <w:marRight w:val="0"/>
              <w:marTop w:val="0"/>
              <w:marBottom w:val="0"/>
              <w:divBdr>
                <w:top w:val="none" w:sz="0" w:space="0" w:color="auto"/>
                <w:left w:val="none" w:sz="0" w:space="0" w:color="auto"/>
                <w:bottom w:val="none" w:sz="0" w:space="0" w:color="auto"/>
                <w:right w:val="none" w:sz="0" w:space="0" w:color="auto"/>
              </w:divBdr>
              <w:divsChild>
                <w:div w:id="177502524">
                  <w:marLeft w:val="0"/>
                  <w:marRight w:val="-6084"/>
                  <w:marTop w:val="0"/>
                  <w:marBottom w:val="0"/>
                  <w:divBdr>
                    <w:top w:val="none" w:sz="0" w:space="0" w:color="auto"/>
                    <w:left w:val="none" w:sz="0" w:space="0" w:color="auto"/>
                    <w:bottom w:val="none" w:sz="0" w:space="0" w:color="auto"/>
                    <w:right w:val="none" w:sz="0" w:space="0" w:color="auto"/>
                  </w:divBdr>
                  <w:divsChild>
                    <w:div w:id="773863365">
                      <w:marLeft w:val="0"/>
                      <w:marRight w:val="5604"/>
                      <w:marTop w:val="0"/>
                      <w:marBottom w:val="0"/>
                      <w:divBdr>
                        <w:top w:val="none" w:sz="0" w:space="0" w:color="auto"/>
                        <w:left w:val="none" w:sz="0" w:space="0" w:color="auto"/>
                        <w:bottom w:val="none" w:sz="0" w:space="0" w:color="auto"/>
                        <w:right w:val="none" w:sz="0" w:space="0" w:color="auto"/>
                      </w:divBdr>
                      <w:divsChild>
                        <w:div w:id="50348134">
                          <w:marLeft w:val="0"/>
                          <w:marRight w:val="0"/>
                          <w:marTop w:val="0"/>
                          <w:marBottom w:val="0"/>
                          <w:divBdr>
                            <w:top w:val="none" w:sz="0" w:space="0" w:color="auto"/>
                            <w:left w:val="none" w:sz="0" w:space="0" w:color="auto"/>
                            <w:bottom w:val="none" w:sz="0" w:space="0" w:color="auto"/>
                            <w:right w:val="none" w:sz="0" w:space="0" w:color="auto"/>
                          </w:divBdr>
                          <w:divsChild>
                            <w:div w:id="5157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512305">
      <w:bodyDiv w:val="1"/>
      <w:marLeft w:val="0"/>
      <w:marRight w:val="0"/>
      <w:marTop w:val="0"/>
      <w:marBottom w:val="0"/>
      <w:divBdr>
        <w:top w:val="none" w:sz="0" w:space="0" w:color="auto"/>
        <w:left w:val="none" w:sz="0" w:space="0" w:color="auto"/>
        <w:bottom w:val="none" w:sz="0" w:space="0" w:color="auto"/>
        <w:right w:val="none" w:sz="0" w:space="0" w:color="auto"/>
      </w:divBdr>
      <w:divsChild>
        <w:div w:id="1014915103">
          <w:marLeft w:val="0"/>
          <w:marRight w:val="0"/>
          <w:marTop w:val="0"/>
          <w:marBottom w:val="0"/>
          <w:divBdr>
            <w:top w:val="none" w:sz="0" w:space="0" w:color="auto"/>
            <w:left w:val="none" w:sz="0" w:space="0" w:color="auto"/>
            <w:bottom w:val="none" w:sz="0" w:space="0" w:color="auto"/>
            <w:right w:val="none" w:sz="0" w:space="0" w:color="auto"/>
          </w:divBdr>
          <w:divsChild>
            <w:div w:id="117920048">
              <w:marLeft w:val="0"/>
              <w:marRight w:val="0"/>
              <w:marTop w:val="0"/>
              <w:marBottom w:val="0"/>
              <w:divBdr>
                <w:top w:val="none" w:sz="0" w:space="0" w:color="auto"/>
                <w:left w:val="none" w:sz="0" w:space="0" w:color="auto"/>
                <w:bottom w:val="none" w:sz="0" w:space="0" w:color="auto"/>
                <w:right w:val="none" w:sz="0" w:space="0" w:color="auto"/>
              </w:divBdr>
              <w:divsChild>
                <w:div w:id="19736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8137">
          <w:marLeft w:val="0"/>
          <w:marRight w:val="0"/>
          <w:marTop w:val="0"/>
          <w:marBottom w:val="0"/>
          <w:divBdr>
            <w:top w:val="none" w:sz="0" w:space="0" w:color="auto"/>
            <w:left w:val="none" w:sz="0" w:space="0" w:color="auto"/>
            <w:bottom w:val="none" w:sz="0" w:space="0" w:color="auto"/>
            <w:right w:val="none" w:sz="0" w:space="0" w:color="auto"/>
          </w:divBdr>
        </w:div>
      </w:divsChild>
    </w:div>
    <w:div w:id="1077089725">
      <w:bodyDiv w:val="1"/>
      <w:marLeft w:val="0"/>
      <w:marRight w:val="0"/>
      <w:marTop w:val="0"/>
      <w:marBottom w:val="0"/>
      <w:divBdr>
        <w:top w:val="none" w:sz="0" w:space="0" w:color="auto"/>
        <w:left w:val="none" w:sz="0" w:space="0" w:color="auto"/>
        <w:bottom w:val="none" w:sz="0" w:space="0" w:color="auto"/>
        <w:right w:val="none" w:sz="0" w:space="0" w:color="auto"/>
      </w:divBdr>
      <w:divsChild>
        <w:div w:id="273832737">
          <w:marLeft w:val="1166"/>
          <w:marRight w:val="0"/>
          <w:marTop w:val="115"/>
          <w:marBottom w:val="0"/>
          <w:divBdr>
            <w:top w:val="none" w:sz="0" w:space="0" w:color="auto"/>
            <w:left w:val="none" w:sz="0" w:space="0" w:color="auto"/>
            <w:bottom w:val="none" w:sz="0" w:space="0" w:color="auto"/>
            <w:right w:val="none" w:sz="0" w:space="0" w:color="auto"/>
          </w:divBdr>
        </w:div>
        <w:div w:id="303776324">
          <w:marLeft w:val="1166"/>
          <w:marRight w:val="0"/>
          <w:marTop w:val="115"/>
          <w:marBottom w:val="0"/>
          <w:divBdr>
            <w:top w:val="none" w:sz="0" w:space="0" w:color="auto"/>
            <w:left w:val="none" w:sz="0" w:space="0" w:color="auto"/>
            <w:bottom w:val="none" w:sz="0" w:space="0" w:color="auto"/>
            <w:right w:val="none" w:sz="0" w:space="0" w:color="auto"/>
          </w:divBdr>
        </w:div>
        <w:div w:id="383723053">
          <w:marLeft w:val="1166"/>
          <w:marRight w:val="0"/>
          <w:marTop w:val="115"/>
          <w:marBottom w:val="0"/>
          <w:divBdr>
            <w:top w:val="none" w:sz="0" w:space="0" w:color="auto"/>
            <w:left w:val="none" w:sz="0" w:space="0" w:color="auto"/>
            <w:bottom w:val="none" w:sz="0" w:space="0" w:color="auto"/>
            <w:right w:val="none" w:sz="0" w:space="0" w:color="auto"/>
          </w:divBdr>
        </w:div>
        <w:div w:id="1091970611">
          <w:marLeft w:val="547"/>
          <w:marRight w:val="0"/>
          <w:marTop w:val="115"/>
          <w:marBottom w:val="0"/>
          <w:divBdr>
            <w:top w:val="none" w:sz="0" w:space="0" w:color="auto"/>
            <w:left w:val="none" w:sz="0" w:space="0" w:color="auto"/>
            <w:bottom w:val="none" w:sz="0" w:space="0" w:color="auto"/>
            <w:right w:val="none" w:sz="0" w:space="0" w:color="auto"/>
          </w:divBdr>
        </w:div>
        <w:div w:id="2026905496">
          <w:marLeft w:val="547"/>
          <w:marRight w:val="0"/>
          <w:marTop w:val="77"/>
          <w:marBottom w:val="0"/>
          <w:divBdr>
            <w:top w:val="none" w:sz="0" w:space="0" w:color="auto"/>
            <w:left w:val="none" w:sz="0" w:space="0" w:color="auto"/>
            <w:bottom w:val="none" w:sz="0" w:space="0" w:color="auto"/>
            <w:right w:val="none" w:sz="0" w:space="0" w:color="auto"/>
          </w:divBdr>
        </w:div>
      </w:divsChild>
    </w:div>
    <w:div w:id="1179156299">
      <w:bodyDiv w:val="1"/>
      <w:marLeft w:val="0"/>
      <w:marRight w:val="0"/>
      <w:marTop w:val="0"/>
      <w:marBottom w:val="0"/>
      <w:divBdr>
        <w:top w:val="none" w:sz="0" w:space="0" w:color="auto"/>
        <w:left w:val="none" w:sz="0" w:space="0" w:color="auto"/>
        <w:bottom w:val="none" w:sz="0" w:space="0" w:color="auto"/>
        <w:right w:val="none" w:sz="0" w:space="0" w:color="auto"/>
      </w:divBdr>
      <w:divsChild>
        <w:div w:id="1522089870">
          <w:marLeft w:val="0"/>
          <w:marRight w:val="0"/>
          <w:marTop w:val="0"/>
          <w:marBottom w:val="0"/>
          <w:divBdr>
            <w:top w:val="none" w:sz="0" w:space="0" w:color="auto"/>
            <w:left w:val="none" w:sz="0" w:space="0" w:color="auto"/>
            <w:bottom w:val="none" w:sz="0" w:space="0" w:color="auto"/>
            <w:right w:val="none" w:sz="0" w:space="0" w:color="auto"/>
          </w:divBdr>
          <w:divsChild>
            <w:div w:id="643433288">
              <w:marLeft w:val="0"/>
              <w:marRight w:val="0"/>
              <w:marTop w:val="0"/>
              <w:marBottom w:val="0"/>
              <w:divBdr>
                <w:top w:val="none" w:sz="0" w:space="0" w:color="auto"/>
                <w:left w:val="none" w:sz="0" w:space="0" w:color="auto"/>
                <w:bottom w:val="none" w:sz="0" w:space="0" w:color="auto"/>
                <w:right w:val="none" w:sz="0" w:space="0" w:color="auto"/>
              </w:divBdr>
              <w:divsChild>
                <w:div w:id="995186278">
                  <w:marLeft w:val="0"/>
                  <w:marRight w:val="-6084"/>
                  <w:marTop w:val="0"/>
                  <w:marBottom w:val="0"/>
                  <w:divBdr>
                    <w:top w:val="none" w:sz="0" w:space="0" w:color="auto"/>
                    <w:left w:val="none" w:sz="0" w:space="0" w:color="auto"/>
                    <w:bottom w:val="none" w:sz="0" w:space="0" w:color="auto"/>
                    <w:right w:val="none" w:sz="0" w:space="0" w:color="auto"/>
                  </w:divBdr>
                  <w:divsChild>
                    <w:div w:id="390150927">
                      <w:marLeft w:val="0"/>
                      <w:marRight w:val="5604"/>
                      <w:marTop w:val="0"/>
                      <w:marBottom w:val="0"/>
                      <w:divBdr>
                        <w:top w:val="none" w:sz="0" w:space="0" w:color="auto"/>
                        <w:left w:val="none" w:sz="0" w:space="0" w:color="auto"/>
                        <w:bottom w:val="none" w:sz="0" w:space="0" w:color="auto"/>
                        <w:right w:val="none" w:sz="0" w:space="0" w:color="auto"/>
                      </w:divBdr>
                      <w:divsChild>
                        <w:div w:id="1730761231">
                          <w:marLeft w:val="0"/>
                          <w:marRight w:val="0"/>
                          <w:marTop w:val="0"/>
                          <w:marBottom w:val="0"/>
                          <w:divBdr>
                            <w:top w:val="none" w:sz="0" w:space="0" w:color="auto"/>
                            <w:left w:val="none" w:sz="0" w:space="0" w:color="auto"/>
                            <w:bottom w:val="none" w:sz="0" w:space="0" w:color="auto"/>
                            <w:right w:val="none" w:sz="0" w:space="0" w:color="auto"/>
                          </w:divBdr>
                          <w:divsChild>
                            <w:div w:id="9888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23742">
      <w:bodyDiv w:val="1"/>
      <w:marLeft w:val="0"/>
      <w:marRight w:val="0"/>
      <w:marTop w:val="0"/>
      <w:marBottom w:val="0"/>
      <w:divBdr>
        <w:top w:val="none" w:sz="0" w:space="0" w:color="auto"/>
        <w:left w:val="none" w:sz="0" w:space="0" w:color="auto"/>
        <w:bottom w:val="none" w:sz="0" w:space="0" w:color="auto"/>
        <w:right w:val="none" w:sz="0" w:space="0" w:color="auto"/>
      </w:divBdr>
    </w:div>
    <w:div w:id="2121875016">
      <w:bodyDiv w:val="1"/>
      <w:marLeft w:val="0"/>
      <w:marRight w:val="0"/>
      <w:marTop w:val="0"/>
      <w:marBottom w:val="0"/>
      <w:divBdr>
        <w:top w:val="none" w:sz="0" w:space="0" w:color="auto"/>
        <w:left w:val="none" w:sz="0" w:space="0" w:color="auto"/>
        <w:bottom w:val="none" w:sz="0" w:space="0" w:color="auto"/>
        <w:right w:val="none" w:sz="0" w:space="0" w:color="auto"/>
      </w:divBdr>
      <w:divsChild>
        <w:div w:id="582298816">
          <w:marLeft w:val="547"/>
          <w:marRight w:val="0"/>
          <w:marTop w:val="115"/>
          <w:marBottom w:val="0"/>
          <w:divBdr>
            <w:top w:val="none" w:sz="0" w:space="0" w:color="auto"/>
            <w:left w:val="none" w:sz="0" w:space="0" w:color="auto"/>
            <w:bottom w:val="none" w:sz="0" w:space="0" w:color="auto"/>
            <w:right w:val="none" w:sz="0" w:space="0" w:color="auto"/>
          </w:divBdr>
        </w:div>
        <w:div w:id="736363353">
          <w:marLeft w:val="547"/>
          <w:marRight w:val="0"/>
          <w:marTop w:val="115"/>
          <w:marBottom w:val="0"/>
          <w:divBdr>
            <w:top w:val="none" w:sz="0" w:space="0" w:color="auto"/>
            <w:left w:val="none" w:sz="0" w:space="0" w:color="auto"/>
            <w:bottom w:val="none" w:sz="0" w:space="0" w:color="auto"/>
            <w:right w:val="none" w:sz="0" w:space="0" w:color="auto"/>
          </w:divBdr>
        </w:div>
        <w:div w:id="120416878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pubmed?term=%22Fakhry%20C%22%5BAuthor%5D" TargetMode="External"/><Relationship Id="rId3" Type="http://schemas.openxmlformats.org/officeDocument/2006/relationships/hyperlink" Target="http://web.nswp.org/pdf/CAL-ADULTFILM.PDF" TargetMode="External"/><Relationship Id="rId7" Type="http://schemas.openxmlformats.org/officeDocument/2006/relationships/hyperlink" Target="http://www.ncbi.nlm.nih.gov/pubmed?term=%22Pawlita%20M%22%5BAuthor%5D" TargetMode="External"/><Relationship Id="rId12" Type="http://schemas.openxmlformats.org/officeDocument/2006/relationships/hyperlink" Target="http://www.cdc.gov/hiv/resources/factsheets/oralsex.htm" TargetMode="External"/><Relationship Id="rId2" Type="http://schemas.openxmlformats.org/officeDocument/2006/relationships/hyperlink" Target="http://www.dir.ca.gov/dosh/DoshReg/5193-CommentsAndDocuments.htm" TargetMode="External"/><Relationship Id="rId1" Type="http://schemas.openxmlformats.org/officeDocument/2006/relationships/hyperlink" Target="http://www.dir.ca.gov/title8/5193.HTML" TargetMode="External"/><Relationship Id="rId6" Type="http://schemas.openxmlformats.org/officeDocument/2006/relationships/hyperlink" Target="http://www.ncbi.nlm.nih.gov/pubmed?term=%22Viscidi%20R%22%5BAuthor%5D" TargetMode="External"/><Relationship Id="rId11" Type="http://schemas.openxmlformats.org/officeDocument/2006/relationships/hyperlink" Target="http://www.ncbi.nlm.nih.gov/pubmed?term=%22Gillison%20ML%22%5BAuthor%5D" TargetMode="External"/><Relationship Id="rId5" Type="http://schemas.openxmlformats.org/officeDocument/2006/relationships/hyperlink" Target="http://www.ncbi.nlm.nih.gov/pubmed?term=%22Kreimer%20AR%22%5BAuthor%5D" TargetMode="External"/><Relationship Id="rId10" Type="http://schemas.openxmlformats.org/officeDocument/2006/relationships/hyperlink" Target="http://www.ncbi.nlm.nih.gov/pubmed?term=%22Westra%20WH%22%5BAuthor%5D" TargetMode="External"/><Relationship Id="rId4" Type="http://schemas.openxmlformats.org/officeDocument/2006/relationships/hyperlink" Target="http://www.ncbi.nlm.nih.gov/pubmed?term=%22D'Souza%20G%22%5BAuthor%5D" TargetMode="External"/><Relationship Id="rId9" Type="http://schemas.openxmlformats.org/officeDocument/2006/relationships/hyperlink" Target="http://www.ncbi.nlm.nih.gov/pubmed?term=%22Koch%20WM%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CEEC9-4CDA-461E-A0A0-CB7F110C14C1}"/>
</file>

<file path=customXml/itemProps2.xml><?xml version="1.0" encoding="utf-8"?>
<ds:datastoreItem xmlns:ds="http://schemas.openxmlformats.org/officeDocument/2006/customXml" ds:itemID="{54F7ABB2-E938-4F2C-9471-0C6913E39FA9}"/>
</file>

<file path=customXml/itemProps3.xml><?xml version="1.0" encoding="utf-8"?>
<ds:datastoreItem xmlns:ds="http://schemas.openxmlformats.org/officeDocument/2006/customXml" ds:itemID="{2759E89B-8715-4897-A79C-4AEA2958EB40}"/>
</file>

<file path=docProps/app.xml><?xml version="1.0" encoding="utf-8"?>
<Properties xmlns="http://schemas.openxmlformats.org/officeDocument/2006/extended-properties" xmlns:vt="http://schemas.openxmlformats.org/officeDocument/2006/docPropsVTypes">
  <Template>Normal.dotm</Template>
  <TotalTime>11</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Statement by the Los Angeles County Department of Public Health to the Cal/OSHA Advisory Subcommittee on Medical Issues, Bloodborne Pathogens in the Adult Film Industry September 14, 2010</vt:lpstr>
    </vt:vector>
  </TitlesOfParts>
  <Company>L. A.  COUNTY PUBLIC HEALTH</Company>
  <LinksUpToDate>false</LinksUpToDate>
  <CharactersWithSpaces>7213</CharactersWithSpaces>
  <SharedDoc>false</SharedDoc>
  <HLinks>
    <vt:vector size="66" baseType="variant">
      <vt:variant>
        <vt:i4>2687016</vt:i4>
      </vt:variant>
      <vt:variant>
        <vt:i4>30</vt:i4>
      </vt:variant>
      <vt:variant>
        <vt:i4>0</vt:i4>
      </vt:variant>
      <vt:variant>
        <vt:i4>5</vt:i4>
      </vt:variant>
      <vt:variant>
        <vt:lpwstr>http://www.cdc.gov/hiv/resources/factsheets/oralsex.htm</vt:lpwstr>
      </vt:variant>
      <vt:variant>
        <vt:lpwstr/>
      </vt:variant>
      <vt:variant>
        <vt:i4>6422563</vt:i4>
      </vt:variant>
      <vt:variant>
        <vt:i4>27</vt:i4>
      </vt:variant>
      <vt:variant>
        <vt:i4>0</vt:i4>
      </vt:variant>
      <vt:variant>
        <vt:i4>5</vt:i4>
      </vt:variant>
      <vt:variant>
        <vt:lpwstr>http://www.ncbi.nlm.nih.gov/pubmed?term=%22Gillison%20ML%22%5BAuthor%5D</vt:lpwstr>
      </vt:variant>
      <vt:variant>
        <vt:lpwstr/>
      </vt:variant>
      <vt:variant>
        <vt:i4>1900625</vt:i4>
      </vt:variant>
      <vt:variant>
        <vt:i4>24</vt:i4>
      </vt:variant>
      <vt:variant>
        <vt:i4>0</vt:i4>
      </vt:variant>
      <vt:variant>
        <vt:i4>5</vt:i4>
      </vt:variant>
      <vt:variant>
        <vt:lpwstr>http://www.ncbi.nlm.nih.gov/pubmed?term=%22Westra%20WH%22%5BAuthor%5D</vt:lpwstr>
      </vt:variant>
      <vt:variant>
        <vt:lpwstr/>
      </vt:variant>
      <vt:variant>
        <vt:i4>6684710</vt:i4>
      </vt:variant>
      <vt:variant>
        <vt:i4>21</vt:i4>
      </vt:variant>
      <vt:variant>
        <vt:i4>0</vt:i4>
      </vt:variant>
      <vt:variant>
        <vt:i4>5</vt:i4>
      </vt:variant>
      <vt:variant>
        <vt:lpwstr>http://www.ncbi.nlm.nih.gov/pubmed?term=%22Koch%20WM%22%5BAuthor%5D</vt:lpwstr>
      </vt:variant>
      <vt:variant>
        <vt:lpwstr/>
      </vt:variant>
      <vt:variant>
        <vt:i4>4849687</vt:i4>
      </vt:variant>
      <vt:variant>
        <vt:i4>18</vt:i4>
      </vt:variant>
      <vt:variant>
        <vt:i4>0</vt:i4>
      </vt:variant>
      <vt:variant>
        <vt:i4>5</vt:i4>
      </vt:variant>
      <vt:variant>
        <vt:lpwstr>http://www.ncbi.nlm.nih.gov/pubmed?term=%22Fakhry%20C%22%5BAuthor%5D</vt:lpwstr>
      </vt:variant>
      <vt:variant>
        <vt:lpwstr/>
      </vt:variant>
      <vt:variant>
        <vt:i4>4587528</vt:i4>
      </vt:variant>
      <vt:variant>
        <vt:i4>15</vt:i4>
      </vt:variant>
      <vt:variant>
        <vt:i4>0</vt:i4>
      </vt:variant>
      <vt:variant>
        <vt:i4>5</vt:i4>
      </vt:variant>
      <vt:variant>
        <vt:lpwstr>http://www.ncbi.nlm.nih.gov/pubmed?term=%22Pawlita%20M%22%5BAuthor%5D</vt:lpwstr>
      </vt:variant>
      <vt:variant>
        <vt:lpwstr/>
      </vt:variant>
      <vt:variant>
        <vt:i4>5439519</vt:i4>
      </vt:variant>
      <vt:variant>
        <vt:i4>12</vt:i4>
      </vt:variant>
      <vt:variant>
        <vt:i4>0</vt:i4>
      </vt:variant>
      <vt:variant>
        <vt:i4>5</vt:i4>
      </vt:variant>
      <vt:variant>
        <vt:lpwstr>http://www.ncbi.nlm.nih.gov/pubmed?term=%22Viscidi%20R%22%5BAuthor%5D</vt:lpwstr>
      </vt:variant>
      <vt:variant>
        <vt:lpwstr/>
      </vt:variant>
      <vt:variant>
        <vt:i4>6422575</vt:i4>
      </vt:variant>
      <vt:variant>
        <vt:i4>9</vt:i4>
      </vt:variant>
      <vt:variant>
        <vt:i4>0</vt:i4>
      </vt:variant>
      <vt:variant>
        <vt:i4>5</vt:i4>
      </vt:variant>
      <vt:variant>
        <vt:lpwstr>http://www.ncbi.nlm.nih.gov/pubmed?term=%22Kreimer%20AR%22%5BAuthor%5D</vt:lpwstr>
      </vt:variant>
      <vt:variant>
        <vt:lpwstr/>
      </vt:variant>
      <vt:variant>
        <vt:i4>4194371</vt:i4>
      </vt:variant>
      <vt:variant>
        <vt:i4>6</vt:i4>
      </vt:variant>
      <vt:variant>
        <vt:i4>0</vt:i4>
      </vt:variant>
      <vt:variant>
        <vt:i4>5</vt:i4>
      </vt:variant>
      <vt:variant>
        <vt:lpwstr>http://www.ncbi.nlm.nih.gov/pubmed?term=%22D'Souza%20G%22%5BAuthor%5D</vt:lpwstr>
      </vt:variant>
      <vt:variant>
        <vt:lpwstr/>
      </vt:variant>
      <vt:variant>
        <vt:i4>1507419</vt:i4>
      </vt:variant>
      <vt:variant>
        <vt:i4>3</vt:i4>
      </vt:variant>
      <vt:variant>
        <vt:i4>0</vt:i4>
      </vt:variant>
      <vt:variant>
        <vt:i4>5</vt:i4>
      </vt:variant>
      <vt:variant>
        <vt:lpwstr>http://www.dir.ca.gov/dosh/DoshReg/5193-CommentsAndDocuments.htm</vt:lpwstr>
      </vt:variant>
      <vt:variant>
        <vt:lpwstr/>
      </vt:variant>
      <vt:variant>
        <vt:i4>3604522</vt:i4>
      </vt:variant>
      <vt:variant>
        <vt:i4>0</vt:i4>
      </vt:variant>
      <vt:variant>
        <vt:i4>0</vt:i4>
      </vt:variant>
      <vt:variant>
        <vt:i4>5</vt:i4>
      </vt:variant>
      <vt:variant>
        <vt:lpwstr>http://www.dir.ca.gov/title8/5193.HTML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the Los Angeles County Department of Public Health to the Cal/OSHA Advisory Subcommittee on Medical Issues, Bloodborne Pathogens in the Adult Film Industry September 14, 2010</dc:title>
  <dc:subject/>
  <dc:creator>jsteinberg</dc:creator>
  <cp:keywords/>
  <dc:description/>
  <cp:lastModifiedBy>Murugavel Krishnamoorthy</cp:lastModifiedBy>
  <cp:revision>31</cp:revision>
  <dcterms:created xsi:type="dcterms:W3CDTF">2020-11-20T02:53:00Z</dcterms:created>
  <dcterms:modified xsi:type="dcterms:W3CDTF">2020-11-20T03:04:00Z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