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4A9B" w14:textId="40F67405" w:rsidR="000D627B" w:rsidRPr="00F145EB" w:rsidRDefault="000D627B" w:rsidP="000D627B">
      <w:pPr>
        <w:pStyle w:val="Header"/>
        <w:ind w:left="-450" w:right="-360"/>
        <w:rPr>
          <w:rFonts w:ascii="Calibri" w:hAnsi="Calibri"/>
          <w:b/>
          <w:sz w:val="20"/>
          <w:szCs w:val="20"/>
          <w:u w:val="thick"/>
        </w:rPr>
      </w:pPr>
      <w:bookmarkStart w:id="0" w:name="_Hlk209624717"/>
      <w:r>
        <w:rPr>
          <w:noProof/>
        </w:rPr>
        <w:drawing>
          <wp:anchor distT="0" distB="0" distL="114300" distR="114300" simplePos="0" relativeHeight="251661312" behindDoc="1" locked="0" layoutInCell="1" allowOverlap="1" wp14:anchorId="675D1A7E" wp14:editId="37FBBCC7">
            <wp:simplePos x="0" y="0"/>
            <wp:positionH relativeFrom="column">
              <wp:posOffset>5601335</wp:posOffset>
            </wp:positionH>
            <wp:positionV relativeFrom="paragraph">
              <wp:posOffset>211455</wp:posOffset>
            </wp:positionV>
            <wp:extent cx="592455" cy="592455"/>
            <wp:effectExtent l="0" t="0" r="0" b="0"/>
            <wp:wrapTight wrapText="bothSides">
              <wp:wrapPolygon edited="0">
                <wp:start x="0" y="0"/>
                <wp:lineTo x="0" y="20836"/>
                <wp:lineTo x="20836" y="20836"/>
                <wp:lineTo x="20836" y="0"/>
                <wp:lineTo x="0" y="0"/>
              </wp:wrapPolygon>
            </wp:wrapTight>
            <wp:docPr id="1031148024" name="Picture 1" descr="A close-up of a comp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compa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876">
        <w:rPr>
          <w:rFonts w:ascii="Calibri" w:hAnsi="Calibri"/>
          <w:b/>
          <w:sz w:val="20"/>
          <w:szCs w:val="20"/>
          <w:u w:val="thick"/>
        </w:rPr>
        <w:t>STATE OF CALIFORNIA</w:t>
      </w:r>
      <w:r w:rsidRPr="00F74876">
        <w:rPr>
          <w:rFonts w:ascii="Calibri" w:hAnsi="Calibri"/>
          <w:b/>
          <w:sz w:val="20"/>
          <w:szCs w:val="20"/>
          <w:u w:val="thick"/>
        </w:rPr>
        <w:tab/>
        <w:t xml:space="preserve">                                                                                                                             </w:t>
      </w:r>
      <w:r>
        <w:rPr>
          <w:rFonts w:ascii="Calibri" w:hAnsi="Calibri"/>
          <w:b/>
          <w:sz w:val="20"/>
          <w:szCs w:val="20"/>
          <w:u w:val="thick"/>
        </w:rPr>
        <w:t xml:space="preserve">  </w:t>
      </w:r>
      <w:r w:rsidRPr="00F74876">
        <w:rPr>
          <w:rFonts w:ascii="Calibri" w:hAnsi="Calibri"/>
          <w:b/>
          <w:sz w:val="20"/>
          <w:szCs w:val="20"/>
          <w:u w:val="thick"/>
        </w:rPr>
        <w:t xml:space="preserve">     </w:t>
      </w:r>
      <w:r w:rsidRPr="00A76C89">
        <w:rPr>
          <w:b/>
          <w:sz w:val="20"/>
          <w:szCs w:val="20"/>
          <w:u w:val="thick"/>
        </w:rPr>
        <w:t>GAVIN NEWSOM,</w:t>
      </w:r>
      <w:r>
        <w:rPr>
          <w:b/>
          <w:sz w:val="20"/>
          <w:szCs w:val="20"/>
          <w:u w:val="thick"/>
        </w:rPr>
        <w:t xml:space="preserve"> </w:t>
      </w:r>
      <w:r w:rsidRPr="00F74876">
        <w:rPr>
          <w:rFonts w:ascii="Calibri" w:hAnsi="Calibri"/>
          <w:b/>
          <w:i/>
          <w:sz w:val="20"/>
          <w:szCs w:val="20"/>
          <w:u w:val="thick"/>
        </w:rPr>
        <w:t>Governor</w:t>
      </w:r>
      <w:r w:rsidRPr="00F74876">
        <w:rPr>
          <w:rFonts w:ascii="Calibri" w:hAnsi="Calibri"/>
          <w:b/>
          <w:sz w:val="20"/>
          <w:szCs w:val="20"/>
          <w:u w:val="thick"/>
        </w:rPr>
        <w:t xml:space="preserve"> </w:t>
      </w:r>
      <w:r w:rsidRPr="00F74876">
        <w:rPr>
          <w:rFonts w:ascii="Calibri" w:hAnsi="Calibri"/>
          <w:sz w:val="20"/>
          <w:szCs w:val="20"/>
        </w:rPr>
        <w:t>DEPARTMENT OF INDUSTRIAL RELATIONS</w:t>
      </w:r>
      <w:r w:rsidRPr="00F74876">
        <w:rPr>
          <w:rFonts w:ascii="Calibri" w:hAnsi="Calibri"/>
          <w:sz w:val="20"/>
          <w:szCs w:val="20"/>
        </w:rPr>
        <w:tab/>
      </w:r>
      <w:r w:rsidRPr="00F74876">
        <w:rPr>
          <w:rFonts w:ascii="Calibri" w:hAnsi="Calibri"/>
          <w:sz w:val="20"/>
          <w:szCs w:val="20"/>
        </w:rPr>
        <w:tab/>
      </w:r>
      <w:bookmarkEnd w:id="0"/>
    </w:p>
    <w:p w14:paraId="70FAFA31" w14:textId="77777777" w:rsidR="000D627B" w:rsidRPr="00F74876" w:rsidRDefault="000D627B" w:rsidP="000D627B">
      <w:pPr>
        <w:pStyle w:val="Header"/>
        <w:ind w:left="-450"/>
        <w:rPr>
          <w:rFonts w:ascii="Calibri" w:hAnsi="Calibri"/>
          <w:sz w:val="18"/>
          <w:szCs w:val="18"/>
        </w:rPr>
      </w:pPr>
      <w:r w:rsidRPr="00F74876">
        <w:rPr>
          <w:rFonts w:ascii="Calibri" w:hAnsi="Calibri"/>
          <w:sz w:val="18"/>
          <w:szCs w:val="18"/>
        </w:rPr>
        <w:t>Division of Workers’ Compensation</w:t>
      </w:r>
    </w:p>
    <w:p w14:paraId="1C58E52F" w14:textId="77777777" w:rsidR="00545277" w:rsidRDefault="00545277" w:rsidP="006E678B">
      <w:pPr>
        <w:jc w:val="center"/>
        <w:rPr>
          <w:sz w:val="40"/>
          <w:szCs w:val="40"/>
        </w:rPr>
      </w:pPr>
    </w:p>
    <w:p w14:paraId="5103A234" w14:textId="73D3B879" w:rsidR="00D43C8B" w:rsidRPr="006E678B" w:rsidRDefault="002E53FD" w:rsidP="006E678B">
      <w:pPr>
        <w:jc w:val="center"/>
        <w:rPr>
          <w:sz w:val="40"/>
          <w:szCs w:val="40"/>
        </w:rPr>
      </w:pPr>
      <w:r>
        <w:rPr>
          <w:sz w:val="40"/>
          <w:szCs w:val="40"/>
        </w:rPr>
        <w:t xml:space="preserve">DWC </w:t>
      </w:r>
      <w:r w:rsidR="00D43C8B" w:rsidRPr="006E678B">
        <w:rPr>
          <w:sz w:val="40"/>
          <w:szCs w:val="40"/>
        </w:rPr>
        <w:t>UR Regulations (effective 4/1/26) Fact Sheet</w:t>
      </w:r>
    </w:p>
    <w:p w14:paraId="231783FE" w14:textId="2AB91266" w:rsidR="00523A6C" w:rsidRPr="00BB4D32" w:rsidRDefault="00523A6C" w:rsidP="00523A6C">
      <w:r>
        <w:t>IMPORTANT NOTE: This document highlights requirements in the upcoming regs that ADD ON to existing requirements</w:t>
      </w:r>
      <w:r w:rsidR="00F05E98">
        <w:t xml:space="preserve">. It </w:t>
      </w:r>
      <w:r w:rsidR="001E2DE6">
        <w:t>is also</w:t>
      </w:r>
      <w:r>
        <w:t xml:space="preserve"> NOT a complete list of new requirements</w:t>
      </w:r>
      <w:r w:rsidR="00BB4DA0">
        <w:t>. I</w:t>
      </w:r>
      <w:r>
        <w:t>t is therefore strongly recommended that readers familiarize themselves with the regulations by reading through them and/or consulting with their attorneys.</w:t>
      </w:r>
    </w:p>
    <w:p w14:paraId="0F2F6187" w14:textId="78B57D66" w:rsidR="00BB4D32" w:rsidRPr="006E678B" w:rsidRDefault="00227792">
      <w:pPr>
        <w:rPr>
          <w:b/>
          <w:bCs/>
        </w:rPr>
      </w:pPr>
      <w:r w:rsidRPr="006E678B">
        <w:rPr>
          <w:b/>
          <w:bCs/>
          <w:u w:val="single"/>
        </w:rPr>
        <w:t>CHANGES RE UR PLANS:</w:t>
      </w:r>
    </w:p>
    <w:p w14:paraId="11CD1C7E" w14:textId="0722926B" w:rsidR="00BB4D32" w:rsidRDefault="00843224" w:rsidP="00BB4D32">
      <w:pPr>
        <w:pStyle w:val="ListParagraph"/>
        <w:numPr>
          <w:ilvl w:val="0"/>
          <w:numId w:val="4"/>
        </w:numPr>
      </w:pPr>
      <w:r>
        <w:t xml:space="preserve">New UR-01 form </w:t>
      </w:r>
      <w:r w:rsidR="00963CB8">
        <w:t xml:space="preserve">(9792.7.1) </w:t>
      </w:r>
      <w:r>
        <w:t>– use as cover page when</w:t>
      </w:r>
      <w:r w:rsidR="00963CB8">
        <w:t xml:space="preserve"> establishing a new UR plan or when</w:t>
      </w:r>
      <w:r>
        <w:t>ever a modification to a UR plan is needed.</w:t>
      </w:r>
      <w:r w:rsidR="00C407E1">
        <w:t xml:space="preserve"> Available online on DWC’s regulations page.</w:t>
      </w:r>
    </w:p>
    <w:p w14:paraId="305C8919" w14:textId="2E188121" w:rsidR="00C407E1" w:rsidRDefault="00C407E1" w:rsidP="00C407E1">
      <w:pPr>
        <w:pStyle w:val="ListParagraph"/>
        <w:numPr>
          <w:ilvl w:val="1"/>
          <w:numId w:val="4"/>
        </w:numPr>
      </w:pPr>
      <w:r>
        <w:t>Note that a “city” field pertaining to address</w:t>
      </w:r>
      <w:r w:rsidR="00BB4DA0">
        <w:t xml:space="preserve"> information</w:t>
      </w:r>
      <w:r>
        <w:t xml:space="preserve"> was inadvertently left </w:t>
      </w:r>
      <w:proofErr w:type="gramStart"/>
      <w:r>
        <w:t>off of</w:t>
      </w:r>
      <w:proofErr w:type="gramEnd"/>
      <w:r>
        <w:t xml:space="preserve"> the form. </w:t>
      </w:r>
      <w:proofErr w:type="gramStart"/>
      <w:r>
        <w:t>The DWC</w:t>
      </w:r>
      <w:proofErr w:type="gramEnd"/>
      <w:r>
        <w:t xml:space="preserve"> has initiated the process for adding it back on and it should reappear on the form </w:t>
      </w:r>
      <w:r w:rsidR="004E1E31">
        <w:t xml:space="preserve">sometime in April </w:t>
      </w:r>
      <w:r>
        <w:t xml:space="preserve">2026. In the meantime, please include </w:t>
      </w:r>
      <w:r w:rsidR="0067025A">
        <w:t xml:space="preserve">any </w:t>
      </w:r>
      <w:r w:rsidR="00BD2246">
        <w:t>“</w:t>
      </w:r>
      <w:r>
        <w:t>city</w:t>
      </w:r>
      <w:r w:rsidR="00BD2246">
        <w:t>”</w:t>
      </w:r>
      <w:r w:rsidR="0067025A">
        <w:t xml:space="preserve"> identification </w:t>
      </w:r>
      <w:r>
        <w:t>on the form’s general address field.</w:t>
      </w:r>
    </w:p>
    <w:p w14:paraId="5B54E74C" w14:textId="4DD25B34" w:rsidR="00843224" w:rsidRDefault="00892468" w:rsidP="00BB4D32">
      <w:pPr>
        <w:pStyle w:val="ListParagraph"/>
        <w:numPr>
          <w:ilvl w:val="0"/>
          <w:numId w:val="4"/>
        </w:numPr>
      </w:pPr>
      <w:r>
        <w:t>Material modification – UR organizations must keep their client lists updated.</w:t>
      </w:r>
      <w:r w:rsidR="00361558">
        <w:t xml:space="preserve"> (See upcoming 9792.7(</w:t>
      </w:r>
      <w:r w:rsidR="00FD1C71">
        <w:t>c)</w:t>
      </w:r>
      <w:r w:rsidR="004F4452">
        <w:t>,</w:t>
      </w:r>
      <w:r w:rsidR="00FD1C71">
        <w:t xml:space="preserve"> requiring UR organizations to identify claims administrator clients for whom they perform any UR functions.)</w:t>
      </w:r>
    </w:p>
    <w:p w14:paraId="367C07D8" w14:textId="61279175" w:rsidR="00134C19" w:rsidRPr="00BB4D32" w:rsidRDefault="00134C19" w:rsidP="00BB4D32">
      <w:pPr>
        <w:pStyle w:val="ListParagraph"/>
        <w:numPr>
          <w:ilvl w:val="0"/>
          <w:numId w:val="4"/>
        </w:numPr>
      </w:pPr>
      <w:r>
        <w:t>Rev</w:t>
      </w:r>
      <w:r w:rsidR="004B5B74">
        <w:t>i</w:t>
      </w:r>
      <w:r>
        <w:t xml:space="preserve">ew/Approval Process – this is newly added. </w:t>
      </w:r>
      <w:r w:rsidR="00EE5297">
        <w:t>(</w:t>
      </w:r>
      <w:r>
        <w:t xml:space="preserve">See upcoming </w:t>
      </w:r>
      <w:r w:rsidR="00A4260E">
        <w:t>9792.7.</w:t>
      </w:r>
      <w:r w:rsidR="00EE5297">
        <w:t>)</w:t>
      </w:r>
    </w:p>
    <w:p w14:paraId="69262D9A" w14:textId="375FD78E" w:rsidR="00D43C8B" w:rsidRPr="006E678B" w:rsidRDefault="00227792">
      <w:pPr>
        <w:rPr>
          <w:b/>
          <w:bCs/>
          <w:u w:val="single"/>
        </w:rPr>
      </w:pPr>
      <w:r w:rsidRPr="006E678B">
        <w:rPr>
          <w:b/>
          <w:bCs/>
          <w:u w:val="single"/>
        </w:rPr>
        <w:t>UPDATES PERTINENT TO UR DECISIONS:</w:t>
      </w:r>
    </w:p>
    <w:p w14:paraId="77980DDE" w14:textId="497F593D" w:rsidR="00BB4D32" w:rsidRPr="00BB4D32" w:rsidRDefault="00BB4D32" w:rsidP="00BB4D32">
      <w:pPr>
        <w:rPr>
          <w:b/>
          <w:bCs/>
        </w:rPr>
      </w:pPr>
      <w:r w:rsidRPr="00BB4D32">
        <w:rPr>
          <w:b/>
          <w:bCs/>
        </w:rPr>
        <w:t>For UR approvals (upcoming section 9792.9.4):</w:t>
      </w:r>
    </w:p>
    <w:p w14:paraId="1F58FA68" w14:textId="7C0BDC57" w:rsidR="00BB4D32" w:rsidRPr="00BB4D32" w:rsidRDefault="00034BA3" w:rsidP="00BB4D32">
      <w:pPr>
        <w:numPr>
          <w:ilvl w:val="0"/>
          <w:numId w:val="1"/>
        </w:numPr>
      </w:pPr>
      <w:r w:rsidRPr="00BB4D32">
        <w:t>If</w:t>
      </w:r>
      <w:r w:rsidR="00BB4D32" w:rsidRPr="00BB4D32">
        <w:t xml:space="preserve"> a request for additional information (or test/consult/exam) preceded the approval, the new regs require the approval letter </w:t>
      </w:r>
      <w:r w:rsidR="006A7ED7">
        <w:t xml:space="preserve">to </w:t>
      </w:r>
      <w:r w:rsidR="00BB4D32" w:rsidRPr="00BB4D32">
        <w:t>include the date of the request for such information/exam/test/consult, and the date such information/exam/test/consult was received.</w:t>
      </w:r>
    </w:p>
    <w:p w14:paraId="338B2BE4" w14:textId="77777777" w:rsidR="00BB4D32" w:rsidRPr="00BB4D32" w:rsidRDefault="00BB4D32" w:rsidP="00BB4D32">
      <w:pPr>
        <w:numPr>
          <w:ilvl w:val="0"/>
          <w:numId w:val="1"/>
        </w:numPr>
      </w:pPr>
      <w:r w:rsidRPr="00BB4D32">
        <w:t>If the approval is of a (name brand) drug where the request did not specify “do not substitute” or “dispense as written,” the approval of the generic form must indicate “generic substitute authorized” or words to that effect and meaning.</w:t>
      </w:r>
    </w:p>
    <w:p w14:paraId="179B76C4" w14:textId="77777777" w:rsidR="00C664A5" w:rsidRDefault="00BB4D32" w:rsidP="00C664A5">
      <w:pPr>
        <w:numPr>
          <w:ilvl w:val="0"/>
          <w:numId w:val="1"/>
        </w:numPr>
      </w:pPr>
      <w:r w:rsidRPr="00BB4D32">
        <w:t>If the approval is for a drug that is exempt on the Drug Formulary, the approval decision must indicate, “Exempt per MTUS Drug Formulary” or words to that effect and meaning.</w:t>
      </w:r>
    </w:p>
    <w:p w14:paraId="6061A05B" w14:textId="14157E50" w:rsidR="007047BA" w:rsidRPr="00C664A5" w:rsidRDefault="00BB4D32" w:rsidP="00C664A5">
      <w:pPr>
        <w:numPr>
          <w:ilvl w:val="0"/>
          <w:numId w:val="1"/>
        </w:numPr>
      </w:pPr>
      <w:r w:rsidRPr="00BB4D32">
        <w:lastRenderedPageBreak/>
        <w:t>For approval of a non-drug treatment that is exempt under the 30-day rule (i.e., 9792.9.7), the written decision must identify the approved exempt treatment as “30-day exemption” or words to that effect and meaning.</w:t>
      </w:r>
    </w:p>
    <w:p w14:paraId="45834AF4" w14:textId="77777777" w:rsidR="00DD52CE" w:rsidRDefault="00DD52CE" w:rsidP="00BB4D32">
      <w:pPr>
        <w:rPr>
          <w:b/>
          <w:bCs/>
        </w:rPr>
      </w:pPr>
    </w:p>
    <w:p w14:paraId="259AC15F" w14:textId="1124A2B9" w:rsidR="00BB4D32" w:rsidRPr="006E678B" w:rsidRDefault="00BB4D32" w:rsidP="00BB4D32">
      <w:pPr>
        <w:rPr>
          <w:b/>
          <w:bCs/>
        </w:rPr>
      </w:pPr>
      <w:r w:rsidRPr="00BB4D32">
        <w:rPr>
          <w:b/>
          <w:bCs/>
        </w:rPr>
        <w:t>For UR denials (upcoming section 9792.9.5):</w:t>
      </w:r>
    </w:p>
    <w:p w14:paraId="5FE45706" w14:textId="77777777" w:rsidR="00F52247" w:rsidRDefault="00F047A0" w:rsidP="00F047A0">
      <w:pPr>
        <w:numPr>
          <w:ilvl w:val="0"/>
          <w:numId w:val="2"/>
        </w:numPr>
      </w:pPr>
      <w:r>
        <w:t xml:space="preserve">For </w:t>
      </w:r>
      <w:r w:rsidR="00F52247">
        <w:t>denials, in general:</w:t>
      </w:r>
    </w:p>
    <w:p w14:paraId="2929D075" w14:textId="77777777" w:rsidR="00F52247" w:rsidRDefault="00F047A0" w:rsidP="00F52247">
      <w:pPr>
        <w:numPr>
          <w:ilvl w:val="1"/>
          <w:numId w:val="2"/>
        </w:numPr>
      </w:pPr>
      <w:r w:rsidRPr="00BB4D32">
        <w:t>If a requesting physician specifically includes in the RFA an express opinion that prerequisite treatment or criteria as recommended in the guidelines should be overlooked or is irrelevant, the reviewing (UR) physician must provide an explanation for why the requesting physician’s explanation is insufficient.</w:t>
      </w:r>
    </w:p>
    <w:p w14:paraId="2615ED76" w14:textId="77777777" w:rsidR="00A3079C" w:rsidRDefault="00F047A0" w:rsidP="00A3079C">
      <w:pPr>
        <w:numPr>
          <w:ilvl w:val="1"/>
          <w:numId w:val="2"/>
        </w:numPr>
      </w:pPr>
      <w:r w:rsidRPr="00BB4D32">
        <w:t>The adverse UR decision must identify the URAC accredited entity that is liable for the UR decision.</w:t>
      </w:r>
    </w:p>
    <w:p w14:paraId="7FE38E7B" w14:textId="7E86C119" w:rsidR="00A3079C" w:rsidRDefault="00A3079C" w:rsidP="00A3079C">
      <w:pPr>
        <w:numPr>
          <w:ilvl w:val="1"/>
          <w:numId w:val="2"/>
        </w:numPr>
      </w:pPr>
      <w:r w:rsidRPr="00BB4D32">
        <w:t xml:space="preserve">Template language in a UR mod/denial regarding IMR appeal rights </w:t>
      </w:r>
      <w:r>
        <w:t xml:space="preserve">should </w:t>
      </w:r>
      <w:r w:rsidRPr="00BB4D32">
        <w:t>be tweaked under the new regs</w:t>
      </w:r>
      <w:r>
        <w:t>. (See 9792.9.5(e).)</w:t>
      </w:r>
      <w:r w:rsidRPr="00BB4D32">
        <w:t xml:space="preserve"> </w:t>
      </w:r>
      <w:r>
        <w:t>Work with DWC UR staff to get this done via UR plan modification.</w:t>
      </w:r>
    </w:p>
    <w:p w14:paraId="53E8F809" w14:textId="785E3CC8" w:rsidR="00E12935" w:rsidRDefault="001F7848" w:rsidP="00BB4D32">
      <w:pPr>
        <w:numPr>
          <w:ilvl w:val="0"/>
          <w:numId w:val="2"/>
        </w:numPr>
      </w:pPr>
      <w:r>
        <w:t xml:space="preserve">For a </w:t>
      </w:r>
      <w:r w:rsidR="00885D6B">
        <w:t xml:space="preserve">denial based on </w:t>
      </w:r>
      <w:r>
        <w:t xml:space="preserve">a </w:t>
      </w:r>
      <w:r w:rsidR="00885D6B">
        <w:t xml:space="preserve">substantive </w:t>
      </w:r>
      <w:r w:rsidR="00FA0EBD">
        <w:t xml:space="preserve">finding </w:t>
      </w:r>
      <w:r>
        <w:t xml:space="preserve">of medical necessity </w:t>
      </w:r>
      <w:r w:rsidR="00FA0EBD">
        <w:t xml:space="preserve">AFTER </w:t>
      </w:r>
      <w:r w:rsidR="00885D6B">
        <w:t>extension of time occurred</w:t>
      </w:r>
      <w:r w:rsidR="00FA0EBD">
        <w:t>, include:</w:t>
      </w:r>
    </w:p>
    <w:p w14:paraId="4D96CBEA" w14:textId="77777777" w:rsidR="00FA0EBD" w:rsidRDefault="00BB4D32" w:rsidP="00FA0EBD">
      <w:pPr>
        <w:numPr>
          <w:ilvl w:val="1"/>
          <w:numId w:val="2"/>
        </w:numPr>
      </w:pPr>
      <w:r w:rsidRPr="00BB4D32">
        <w:t xml:space="preserve">a description of the information that was needed, </w:t>
      </w:r>
    </w:p>
    <w:p w14:paraId="7C7B2D39" w14:textId="77777777" w:rsidR="0051348C" w:rsidRDefault="00BB4D32" w:rsidP="00FA0EBD">
      <w:pPr>
        <w:numPr>
          <w:ilvl w:val="1"/>
          <w:numId w:val="2"/>
        </w:numPr>
      </w:pPr>
      <w:r w:rsidRPr="00BB4D32">
        <w:t xml:space="preserve">the dates and times such request </w:t>
      </w:r>
      <w:proofErr w:type="gramStart"/>
      <w:r w:rsidRPr="00BB4D32">
        <w:t>was</w:t>
      </w:r>
      <w:proofErr w:type="gramEnd"/>
      <w:r w:rsidRPr="00BB4D32">
        <w:t xml:space="preserve"> made, </w:t>
      </w:r>
    </w:p>
    <w:p w14:paraId="664B5DEC" w14:textId="77777777" w:rsidR="0051348C" w:rsidRDefault="00BB4D32" w:rsidP="00FA0EBD">
      <w:pPr>
        <w:numPr>
          <w:ilvl w:val="1"/>
          <w:numId w:val="2"/>
        </w:numPr>
      </w:pPr>
      <w:r w:rsidRPr="00BB4D32">
        <w:t xml:space="preserve">the </w:t>
      </w:r>
      <w:proofErr w:type="gramStart"/>
      <w:r w:rsidRPr="00BB4D32">
        <w:t>manner in which</w:t>
      </w:r>
      <w:proofErr w:type="gramEnd"/>
      <w:r w:rsidRPr="00BB4D32">
        <w:t xml:space="preserve"> the request(s) were made, and </w:t>
      </w:r>
    </w:p>
    <w:p w14:paraId="3CF91861" w14:textId="3A2673B6" w:rsidR="00BB4D32" w:rsidRPr="00BB4D32" w:rsidRDefault="00BB4D32" w:rsidP="00FA0EBD">
      <w:pPr>
        <w:numPr>
          <w:ilvl w:val="1"/>
          <w:numId w:val="2"/>
        </w:numPr>
      </w:pPr>
      <w:r w:rsidRPr="00BB4D32">
        <w:t xml:space="preserve">the date the missing info/test/exam/consult results were first received. </w:t>
      </w:r>
    </w:p>
    <w:p w14:paraId="77694B2A" w14:textId="40A2346F" w:rsidR="00B61068" w:rsidRDefault="00E92180" w:rsidP="00B61068">
      <w:pPr>
        <w:numPr>
          <w:ilvl w:val="0"/>
          <w:numId w:val="2"/>
        </w:numPr>
      </w:pPr>
      <w:r>
        <w:t xml:space="preserve">For a </w:t>
      </w:r>
      <w:r w:rsidR="0051348C">
        <w:t>denial based on not having timely received requested info (or test/exam/consult)</w:t>
      </w:r>
      <w:r w:rsidR="00B61068">
        <w:t>, i.e., “CNC” denial, then must include:</w:t>
      </w:r>
    </w:p>
    <w:p w14:paraId="56C68B29" w14:textId="48FFA7B5" w:rsidR="003521F6" w:rsidRDefault="003521F6" w:rsidP="00B61068">
      <w:pPr>
        <w:numPr>
          <w:ilvl w:val="1"/>
          <w:numId w:val="2"/>
        </w:numPr>
      </w:pPr>
      <w:r>
        <w:t>Reason for the decision (i.e., did not timely receive requested information</w:t>
      </w:r>
      <w:proofErr w:type="gramStart"/>
      <w:r>
        <w:t>)</w:t>
      </w:r>
      <w:r w:rsidR="00CB77E1">
        <w:t>;</w:t>
      </w:r>
      <w:proofErr w:type="gramEnd"/>
    </w:p>
    <w:p w14:paraId="1FED5A07" w14:textId="12D1B262" w:rsidR="003521F6" w:rsidRDefault="00A65097" w:rsidP="00B61068">
      <w:pPr>
        <w:numPr>
          <w:ilvl w:val="1"/>
          <w:numId w:val="2"/>
        </w:numPr>
      </w:pPr>
      <w:r>
        <w:t xml:space="preserve">Specific description of the needed </w:t>
      </w:r>
      <w:proofErr w:type="gramStart"/>
      <w:r>
        <w:t>information</w:t>
      </w:r>
      <w:r w:rsidR="00CB77E1">
        <w:t>;</w:t>
      </w:r>
      <w:proofErr w:type="gramEnd"/>
    </w:p>
    <w:p w14:paraId="23C7FAD9" w14:textId="11B51519" w:rsidR="00A65097" w:rsidRDefault="00A65097" w:rsidP="00B61068">
      <w:pPr>
        <w:numPr>
          <w:ilvl w:val="1"/>
          <w:numId w:val="2"/>
        </w:numPr>
      </w:pPr>
      <w:r>
        <w:t xml:space="preserve">Date and time of attempts made to contact the physician to obtain missing </w:t>
      </w:r>
      <w:proofErr w:type="gramStart"/>
      <w:r>
        <w:t>info</w:t>
      </w:r>
      <w:r w:rsidR="00CB77E1">
        <w:t>;</w:t>
      </w:r>
      <w:proofErr w:type="gramEnd"/>
    </w:p>
    <w:p w14:paraId="6501E871" w14:textId="6AF71C19" w:rsidR="00A65097" w:rsidRDefault="00A65097" w:rsidP="00B61068">
      <w:pPr>
        <w:numPr>
          <w:ilvl w:val="1"/>
          <w:numId w:val="2"/>
        </w:numPr>
      </w:pPr>
      <w:proofErr w:type="gramStart"/>
      <w:r>
        <w:t>Manner in which</w:t>
      </w:r>
      <w:proofErr w:type="gramEnd"/>
      <w:r>
        <w:t xml:space="preserve"> the attempts were made (i.e., fax, email, telephone, etc.)</w:t>
      </w:r>
      <w:r w:rsidR="00CB77E1">
        <w:t>.</w:t>
      </w:r>
    </w:p>
    <w:p w14:paraId="5977BBBF" w14:textId="132C73B9" w:rsidR="00957AF7" w:rsidRPr="00957AF7" w:rsidRDefault="00CB77E1" w:rsidP="00B324AF">
      <w:pPr>
        <w:ind w:left="1080"/>
      </w:pPr>
      <w:r>
        <w:t>(</w:t>
      </w:r>
      <w:r w:rsidR="00AF2B38">
        <w:t>A</w:t>
      </w:r>
      <w:r w:rsidR="0056652D">
        <w:t>ctually</w:t>
      </w:r>
      <w:r w:rsidR="00AF2B38">
        <w:t>,</w:t>
      </w:r>
      <w:r>
        <w:t xml:space="preserve"> </w:t>
      </w:r>
      <w:r w:rsidR="00CD4F70">
        <w:t xml:space="preserve">the above requirements are </w:t>
      </w:r>
      <w:r>
        <w:t>not new</w:t>
      </w:r>
      <w:r w:rsidR="00AF2B38">
        <w:t>.</w:t>
      </w:r>
      <w:r>
        <w:t xml:space="preserve"> </w:t>
      </w:r>
      <w:r w:rsidR="00CD4F70">
        <w:t>They are a</w:t>
      </w:r>
      <w:r>
        <w:t xml:space="preserve">lready required in </w:t>
      </w:r>
      <w:r w:rsidR="0056652D">
        <w:t xml:space="preserve">Labor Code </w:t>
      </w:r>
      <w:r>
        <w:t>4610(</w:t>
      </w:r>
      <w:proofErr w:type="spellStart"/>
      <w:r>
        <w:t>i</w:t>
      </w:r>
      <w:proofErr w:type="spellEnd"/>
      <w:r>
        <w:t>)(5</w:t>
      </w:r>
      <w:proofErr w:type="gramStart"/>
      <w:r>
        <w:t>), but</w:t>
      </w:r>
      <w:proofErr w:type="gramEnd"/>
      <w:r>
        <w:t xml:space="preserve"> </w:t>
      </w:r>
      <w:r w:rsidR="00CD4F70">
        <w:t>are</w:t>
      </w:r>
      <w:r w:rsidR="0056652D">
        <w:t xml:space="preserve"> </w:t>
      </w:r>
      <w:r>
        <w:t>being included to clarify the law in this context.</w:t>
      </w:r>
    </w:p>
    <w:p w14:paraId="5D63543E" w14:textId="7D6861A6" w:rsidR="005A2BF2" w:rsidRPr="005A2BF2" w:rsidRDefault="005A2BF2" w:rsidP="005A2BF2">
      <w:pPr>
        <w:rPr>
          <w:b/>
          <w:bCs/>
          <w:u w:val="single"/>
        </w:rPr>
      </w:pPr>
      <w:r w:rsidRPr="005A2BF2">
        <w:rPr>
          <w:b/>
          <w:bCs/>
          <w:u w:val="single"/>
        </w:rPr>
        <w:lastRenderedPageBreak/>
        <w:t>OTHER CHANGES</w:t>
      </w:r>
      <w:r w:rsidR="00BE2C53">
        <w:rPr>
          <w:b/>
          <w:bCs/>
          <w:u w:val="single"/>
        </w:rPr>
        <w:t xml:space="preserve"> </w:t>
      </w:r>
      <w:r w:rsidR="007047BA">
        <w:rPr>
          <w:b/>
          <w:bCs/>
          <w:u w:val="single"/>
        </w:rPr>
        <w:t>/</w:t>
      </w:r>
      <w:r w:rsidR="00BE2C53">
        <w:rPr>
          <w:b/>
          <w:bCs/>
          <w:u w:val="single"/>
        </w:rPr>
        <w:t xml:space="preserve"> NOTES</w:t>
      </w:r>
      <w:r w:rsidRPr="005A2BF2">
        <w:rPr>
          <w:b/>
          <w:bCs/>
          <w:u w:val="single"/>
        </w:rPr>
        <w:t xml:space="preserve">: </w:t>
      </w:r>
    </w:p>
    <w:p w14:paraId="62DA4D08" w14:textId="77777777" w:rsidR="002936FD" w:rsidRDefault="00A81B6E" w:rsidP="00992FFA">
      <w:pPr>
        <w:numPr>
          <w:ilvl w:val="0"/>
          <w:numId w:val="2"/>
        </w:numPr>
      </w:pPr>
      <w:r>
        <w:t>Update</w:t>
      </w:r>
      <w:r w:rsidR="002936FD">
        <w:t>d</w:t>
      </w:r>
      <w:r>
        <w:t xml:space="preserve"> IMR application – </w:t>
      </w:r>
    </w:p>
    <w:p w14:paraId="4458F35F" w14:textId="53966316" w:rsidR="002936FD" w:rsidRDefault="00B3585D" w:rsidP="002936FD">
      <w:pPr>
        <w:numPr>
          <w:ilvl w:val="1"/>
          <w:numId w:val="2"/>
        </w:numPr>
      </w:pPr>
      <w:r>
        <w:t>3 a</w:t>
      </w:r>
      <w:r w:rsidR="002936FD">
        <w:t>dditional checkboxes at the top of the form</w:t>
      </w:r>
      <w:r>
        <w:t>:</w:t>
      </w:r>
    </w:p>
    <w:p w14:paraId="5C8773F8" w14:textId="7EA8955A" w:rsidR="00B3585D" w:rsidRDefault="00B3585D" w:rsidP="00B3585D">
      <w:pPr>
        <w:numPr>
          <w:ilvl w:val="2"/>
          <w:numId w:val="2"/>
        </w:numPr>
      </w:pPr>
      <w:r>
        <w:t>Medication Only – MTUS Formulary Drug List</w:t>
      </w:r>
    </w:p>
    <w:p w14:paraId="756D05C7" w14:textId="0CDB60E0" w:rsidR="00B4735E" w:rsidRDefault="00B4735E" w:rsidP="00B3585D">
      <w:pPr>
        <w:numPr>
          <w:ilvl w:val="2"/>
          <w:numId w:val="2"/>
        </w:numPr>
      </w:pPr>
      <w:r>
        <w:t>Retrospective for Exempt Treatment (Non-Drug)</w:t>
      </w:r>
    </w:p>
    <w:p w14:paraId="0597835D" w14:textId="550A8D96" w:rsidR="00B4735E" w:rsidRDefault="00B4735E" w:rsidP="00B3585D">
      <w:pPr>
        <w:numPr>
          <w:ilvl w:val="2"/>
          <w:numId w:val="2"/>
        </w:numPr>
      </w:pPr>
      <w:r>
        <w:t>Retrospective for Exempt Treatment (Drug)</w:t>
      </w:r>
    </w:p>
    <w:p w14:paraId="16E2E4A1" w14:textId="5C7A42FB" w:rsidR="009E1DF2" w:rsidRDefault="009E1DF2" w:rsidP="002936FD">
      <w:pPr>
        <w:numPr>
          <w:ilvl w:val="1"/>
          <w:numId w:val="2"/>
        </w:numPr>
      </w:pPr>
      <w:r>
        <w:t>Under “Disputed Medical Treatment,”</w:t>
      </w:r>
      <w:r w:rsidR="00AE6E29">
        <w:t xml:space="preserve"> added field for “Mailing Date of the UR Determination Letter.”</w:t>
      </w:r>
    </w:p>
    <w:p w14:paraId="3B64978C" w14:textId="0B59B23B" w:rsidR="00BB4D32" w:rsidRDefault="00AE6E29" w:rsidP="002936FD">
      <w:pPr>
        <w:numPr>
          <w:ilvl w:val="1"/>
          <w:numId w:val="2"/>
        </w:numPr>
      </w:pPr>
      <w:r>
        <w:t>For “IMR Application Filing Deadline</w:t>
      </w:r>
      <w:r w:rsidR="008F44D9">
        <w:t xml:space="preserve">,” the claims administrator/URO will need to mark which deadline is applicable. </w:t>
      </w:r>
    </w:p>
    <w:p w14:paraId="08656D74" w14:textId="77777777" w:rsidR="009D75B5" w:rsidRDefault="007E1605" w:rsidP="00F3331D">
      <w:pPr>
        <w:numPr>
          <w:ilvl w:val="2"/>
          <w:numId w:val="2"/>
        </w:numPr>
      </w:pPr>
      <w:r w:rsidRPr="007E1605">
        <w:t>If the disputed medical treatment only involves a drug that is listed on the Medical Treatment Utilization Schedule (MTUS) Formulary Drug List,</w:t>
      </w:r>
      <w:r w:rsidR="00F01106">
        <w:t xml:space="preserve"> mark</w:t>
      </w:r>
      <w:r w:rsidRPr="007E1605">
        <w:t xml:space="preserve"> the </w:t>
      </w:r>
      <w:r w:rsidR="00F01106">
        <w:t xml:space="preserve">applicable </w:t>
      </w:r>
      <w:r w:rsidRPr="007E1605">
        <w:t xml:space="preserve">deadline </w:t>
      </w:r>
      <w:r w:rsidR="00F01106">
        <w:t xml:space="preserve">as being </w:t>
      </w:r>
      <w:r w:rsidR="00D705F5">
        <w:t xml:space="preserve">10 </w:t>
      </w:r>
      <w:r w:rsidRPr="007E1605">
        <w:t xml:space="preserve">days from the mailing date of the letter. </w:t>
      </w:r>
    </w:p>
    <w:p w14:paraId="12C0528E" w14:textId="2336E1FF" w:rsidR="00F3331D" w:rsidRDefault="007E1605" w:rsidP="00F3331D">
      <w:pPr>
        <w:numPr>
          <w:ilvl w:val="2"/>
          <w:numId w:val="2"/>
        </w:numPr>
      </w:pPr>
      <w:r w:rsidRPr="007E1605">
        <w:t>For all other disputes</w:t>
      </w:r>
      <w:r w:rsidR="009D75B5">
        <w:t xml:space="preserve"> (including drugs that do not appear on the MTUS Formulary Drug List)</w:t>
      </w:r>
      <w:r w:rsidRPr="007E1605">
        <w:t xml:space="preserve">, </w:t>
      </w:r>
      <w:r w:rsidR="00F01106">
        <w:t xml:space="preserve">mark </w:t>
      </w:r>
      <w:r w:rsidRPr="007E1605">
        <w:t xml:space="preserve">the deadline </w:t>
      </w:r>
      <w:r w:rsidR="00F01106">
        <w:t xml:space="preserve">as being </w:t>
      </w:r>
      <w:r w:rsidR="00D705F5">
        <w:t>30</w:t>
      </w:r>
      <w:r w:rsidRPr="007E1605">
        <w:t xml:space="preserve"> days from the mailing date of the letter.</w:t>
      </w:r>
    </w:p>
    <w:p w14:paraId="02D75F4E" w14:textId="77777777" w:rsidR="001D6AFA" w:rsidRDefault="001D6AFA" w:rsidP="002B178C">
      <w:pPr>
        <w:numPr>
          <w:ilvl w:val="0"/>
          <w:numId w:val="2"/>
        </w:numPr>
      </w:pPr>
      <w:r>
        <w:t>Mistakes on the IMR Application:</w:t>
      </w:r>
    </w:p>
    <w:p w14:paraId="531DD70A" w14:textId="49BD6BA4" w:rsidR="002B178C" w:rsidRDefault="002B178C" w:rsidP="001D6AFA">
      <w:pPr>
        <w:numPr>
          <w:ilvl w:val="1"/>
          <w:numId w:val="2"/>
        </w:numPr>
      </w:pPr>
      <w:r>
        <w:t>The Authorized Designated Representative (ARD) form was inadvertently left out of the updated IMR application</w:t>
      </w:r>
      <w:r w:rsidR="00E30499">
        <w:t>,</w:t>
      </w:r>
      <w:r>
        <w:t xml:space="preserve"> but the DWC is working on adding it back on. Please continue to include it</w:t>
      </w:r>
      <w:r w:rsidR="00E30499">
        <w:t xml:space="preserve"> as part of the IMR application that accompanies adverse UR decision letters.</w:t>
      </w:r>
    </w:p>
    <w:p w14:paraId="06F770D7" w14:textId="06BCA648" w:rsidR="00D43C8B" w:rsidRDefault="001D6AFA" w:rsidP="00814139">
      <w:pPr>
        <w:numPr>
          <w:ilvl w:val="1"/>
          <w:numId w:val="2"/>
        </w:numPr>
      </w:pPr>
      <w:r>
        <w:t xml:space="preserve">The “City” field for various addresses </w:t>
      </w:r>
      <w:r w:rsidR="000B30AA">
        <w:t xml:space="preserve">that appear on the form </w:t>
      </w:r>
      <w:r>
        <w:t>were inadvertently left off</w:t>
      </w:r>
      <w:r w:rsidR="0084088A">
        <w:t xml:space="preserve">. </w:t>
      </w:r>
      <w:proofErr w:type="gramStart"/>
      <w:r w:rsidR="0084088A">
        <w:t>The DWC</w:t>
      </w:r>
      <w:proofErr w:type="gramEnd"/>
      <w:r w:rsidR="0084088A">
        <w:t xml:space="preserve"> has initiated the process for adding it back on and it should reappear on the form </w:t>
      </w:r>
      <w:r w:rsidR="000B30AA">
        <w:t xml:space="preserve">sometime </w:t>
      </w:r>
      <w:r w:rsidR="0084088A">
        <w:t>in April 2026.</w:t>
      </w:r>
      <w:r w:rsidR="000B30AA">
        <w:t xml:space="preserve"> In the meantime, please include the city on the form’s general address fields.</w:t>
      </w:r>
    </w:p>
    <w:p w14:paraId="599D1AE2" w14:textId="0712576E" w:rsidR="00814139" w:rsidRDefault="00814139" w:rsidP="00814139">
      <w:pPr>
        <w:ind w:left="1440"/>
      </w:pPr>
    </w:p>
    <w:p w14:paraId="00198DCD" w14:textId="16FCC83E" w:rsidR="005D1391" w:rsidRDefault="005D1391" w:rsidP="005D1391">
      <w:pPr>
        <w:jc w:val="center"/>
      </w:pPr>
    </w:p>
    <w:p w14:paraId="0AAB4B64" w14:textId="76316DAB" w:rsidR="00467C99" w:rsidRDefault="00284F18" w:rsidP="005D1391">
      <w:pPr>
        <w:jc w:val="center"/>
      </w:pPr>
      <w:r>
        <w:rPr>
          <w:noProof/>
        </w:rPr>
        <mc:AlternateContent>
          <mc:Choice Requires="wps">
            <w:drawing>
              <wp:anchor distT="0" distB="0" distL="114300" distR="114300" simplePos="0" relativeHeight="251659264" behindDoc="0" locked="0" layoutInCell="1" allowOverlap="1" wp14:anchorId="386BBB77" wp14:editId="4C9CD3F0">
                <wp:simplePos x="0" y="0"/>
                <wp:positionH relativeFrom="margin">
                  <wp:align>right</wp:align>
                </wp:positionH>
                <wp:positionV relativeFrom="paragraph">
                  <wp:posOffset>131572</wp:posOffset>
                </wp:positionV>
                <wp:extent cx="5878830" cy="722122"/>
                <wp:effectExtent l="0" t="0" r="26670" b="20955"/>
                <wp:wrapNone/>
                <wp:docPr id="1580056001" name="Rectangle: Rounded Corners 1"/>
                <wp:cNvGraphicFramePr/>
                <a:graphic xmlns:a="http://schemas.openxmlformats.org/drawingml/2006/main">
                  <a:graphicData uri="http://schemas.microsoft.com/office/word/2010/wordprocessingShape">
                    <wps:wsp>
                      <wps:cNvSpPr/>
                      <wps:spPr>
                        <a:xfrm>
                          <a:off x="0" y="0"/>
                          <a:ext cx="5878830" cy="72212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359E0" id="Rectangle: Rounded Corners 1" o:spid="_x0000_s1026" style="position:absolute;margin-left:411.7pt;margin-top:10.35pt;width:462.9pt;height:5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" filled="f" strokecolor="#030e13 [484]" strokeweight="1.5pt">
                <v:stroke joinstyle="miter"/>
                <w10:wrap anchorx="margin"/>
              </v:roundrect>
            </w:pict>
          </mc:Fallback>
        </mc:AlternateContent>
      </w:r>
    </w:p>
    <w:p w14:paraId="22A16CE9" w14:textId="0A4AE49F" w:rsidR="009E52E3" w:rsidRDefault="00284F18" w:rsidP="00284F18">
      <w:pPr>
        <w:jc w:val="center"/>
      </w:pPr>
      <w:r>
        <w:t>Questions, comments, concerns? We are here to help! Please email them to dwcur@dir.ca.gov.</w:t>
      </w:r>
    </w:p>
    <w:sectPr w:rsidR="009E52E3" w:rsidSect="00C664A5">
      <w:footerReference w:type="default" r:id="rId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E191" w14:textId="77777777" w:rsidR="000B2866" w:rsidRDefault="000B2866" w:rsidP="00247668">
      <w:pPr>
        <w:spacing w:after="0" w:line="240" w:lineRule="auto"/>
      </w:pPr>
      <w:r>
        <w:separator/>
      </w:r>
    </w:p>
  </w:endnote>
  <w:endnote w:type="continuationSeparator" w:id="0">
    <w:p w14:paraId="7245DD20" w14:textId="77777777" w:rsidR="000B2866" w:rsidRDefault="000B2866" w:rsidP="0024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2422" w14:textId="5E3A493F" w:rsidR="00B324AF" w:rsidRPr="00B324AF" w:rsidRDefault="00B324AF">
    <w:pPr>
      <w:pStyle w:val="Footer"/>
      <w:rPr>
        <w:sz w:val="16"/>
        <w:szCs w:val="16"/>
      </w:rPr>
    </w:pPr>
    <w:r w:rsidRPr="00B324AF">
      <w:rPr>
        <w:sz w:val="16"/>
        <w:szCs w:val="16"/>
      </w:rPr>
      <w:t>This UR Regulations Fact Sheet is meant to highlight changes that may be useful for claims administrators and/or UR organizations as they navigate the new regulations. It is geared toward entities that perform utilization review. It is NOT a comprehensive list of all regulatory changes. Users are encouraged to review the new regulations on their own and/or consult with their personal attorneys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ECBD" w14:textId="77777777" w:rsidR="000B2866" w:rsidRDefault="000B2866" w:rsidP="00247668">
      <w:pPr>
        <w:spacing w:after="0" w:line="240" w:lineRule="auto"/>
      </w:pPr>
      <w:r>
        <w:separator/>
      </w:r>
    </w:p>
  </w:footnote>
  <w:footnote w:type="continuationSeparator" w:id="0">
    <w:p w14:paraId="1D21B3E3" w14:textId="77777777" w:rsidR="000B2866" w:rsidRDefault="000B2866" w:rsidP="00247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0D51"/>
    <w:multiLevelType w:val="hybridMultilevel"/>
    <w:tmpl w:val="41E6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44D8B"/>
    <w:multiLevelType w:val="hybridMultilevel"/>
    <w:tmpl w:val="01D8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4D484C"/>
    <w:multiLevelType w:val="hybridMultilevel"/>
    <w:tmpl w:val="C3647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F1D23"/>
    <w:multiLevelType w:val="hybridMultilevel"/>
    <w:tmpl w:val="016E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81162525">
    <w:abstractNumId w:val="3"/>
  </w:num>
  <w:num w:numId="2" w16cid:durableId="478501018">
    <w:abstractNumId w:val="1"/>
  </w:num>
  <w:num w:numId="3" w16cid:durableId="80683166">
    <w:abstractNumId w:val="1"/>
  </w:num>
  <w:num w:numId="4" w16cid:durableId="1843081947">
    <w:abstractNumId w:val="2"/>
  </w:num>
  <w:num w:numId="5" w16cid:durableId="11232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8B"/>
    <w:rsid w:val="00005881"/>
    <w:rsid w:val="000133B7"/>
    <w:rsid w:val="00034BA3"/>
    <w:rsid w:val="00092621"/>
    <w:rsid w:val="000B2866"/>
    <w:rsid w:val="000B30AA"/>
    <w:rsid w:val="000D627B"/>
    <w:rsid w:val="000E3201"/>
    <w:rsid w:val="00134C19"/>
    <w:rsid w:val="001A6A6F"/>
    <w:rsid w:val="001C5729"/>
    <w:rsid w:val="001D6AFA"/>
    <w:rsid w:val="001E2DE6"/>
    <w:rsid w:val="001F7848"/>
    <w:rsid w:val="00227792"/>
    <w:rsid w:val="002356DF"/>
    <w:rsid w:val="00247668"/>
    <w:rsid w:val="00284F18"/>
    <w:rsid w:val="00290A8D"/>
    <w:rsid w:val="002936FD"/>
    <w:rsid w:val="002B178C"/>
    <w:rsid w:val="002E53FD"/>
    <w:rsid w:val="003521F6"/>
    <w:rsid w:val="00361558"/>
    <w:rsid w:val="003668B1"/>
    <w:rsid w:val="00370553"/>
    <w:rsid w:val="00403CD5"/>
    <w:rsid w:val="00405130"/>
    <w:rsid w:val="00467C99"/>
    <w:rsid w:val="004839A3"/>
    <w:rsid w:val="004B5763"/>
    <w:rsid w:val="004B5B74"/>
    <w:rsid w:val="004D4BBA"/>
    <w:rsid w:val="004E1E31"/>
    <w:rsid w:val="004F4452"/>
    <w:rsid w:val="0051348C"/>
    <w:rsid w:val="0051734D"/>
    <w:rsid w:val="00523A6C"/>
    <w:rsid w:val="00545277"/>
    <w:rsid w:val="0055393F"/>
    <w:rsid w:val="0056652D"/>
    <w:rsid w:val="005A2BF2"/>
    <w:rsid w:val="005B1A03"/>
    <w:rsid w:val="005D1391"/>
    <w:rsid w:val="0067025A"/>
    <w:rsid w:val="006A7ED7"/>
    <w:rsid w:val="006D6492"/>
    <w:rsid w:val="006E678B"/>
    <w:rsid w:val="007047BA"/>
    <w:rsid w:val="00765C9A"/>
    <w:rsid w:val="007E1605"/>
    <w:rsid w:val="00814139"/>
    <w:rsid w:val="0084088A"/>
    <w:rsid w:val="00843224"/>
    <w:rsid w:val="00885D6B"/>
    <w:rsid w:val="00892468"/>
    <w:rsid w:val="008C13BE"/>
    <w:rsid w:val="008F44D9"/>
    <w:rsid w:val="00910AFC"/>
    <w:rsid w:val="0092419C"/>
    <w:rsid w:val="00932567"/>
    <w:rsid w:val="00935A0A"/>
    <w:rsid w:val="00957AF7"/>
    <w:rsid w:val="00963CB8"/>
    <w:rsid w:val="00992FFA"/>
    <w:rsid w:val="009B6BB9"/>
    <w:rsid w:val="009D75B5"/>
    <w:rsid w:val="009E1DF2"/>
    <w:rsid w:val="009E52E3"/>
    <w:rsid w:val="00A3079C"/>
    <w:rsid w:val="00A4260E"/>
    <w:rsid w:val="00A65097"/>
    <w:rsid w:val="00A76B69"/>
    <w:rsid w:val="00A81B6E"/>
    <w:rsid w:val="00AA7651"/>
    <w:rsid w:val="00AE6E29"/>
    <w:rsid w:val="00AF2B38"/>
    <w:rsid w:val="00B230DC"/>
    <w:rsid w:val="00B324AF"/>
    <w:rsid w:val="00B3585D"/>
    <w:rsid w:val="00B4735E"/>
    <w:rsid w:val="00B61068"/>
    <w:rsid w:val="00B67F96"/>
    <w:rsid w:val="00B92A51"/>
    <w:rsid w:val="00BB4D32"/>
    <w:rsid w:val="00BB4DA0"/>
    <w:rsid w:val="00BD2246"/>
    <w:rsid w:val="00BE2C53"/>
    <w:rsid w:val="00C40410"/>
    <w:rsid w:val="00C407E1"/>
    <w:rsid w:val="00C43FA7"/>
    <w:rsid w:val="00C664A5"/>
    <w:rsid w:val="00C86EA7"/>
    <w:rsid w:val="00CB77E1"/>
    <w:rsid w:val="00CD39E4"/>
    <w:rsid w:val="00CD4F70"/>
    <w:rsid w:val="00D43C8B"/>
    <w:rsid w:val="00D705F5"/>
    <w:rsid w:val="00DD52CE"/>
    <w:rsid w:val="00DF272C"/>
    <w:rsid w:val="00E10709"/>
    <w:rsid w:val="00E12935"/>
    <w:rsid w:val="00E26B7A"/>
    <w:rsid w:val="00E30499"/>
    <w:rsid w:val="00E33676"/>
    <w:rsid w:val="00E41748"/>
    <w:rsid w:val="00E92114"/>
    <w:rsid w:val="00E92180"/>
    <w:rsid w:val="00EE5297"/>
    <w:rsid w:val="00F01106"/>
    <w:rsid w:val="00F047A0"/>
    <w:rsid w:val="00F05E98"/>
    <w:rsid w:val="00F16B7B"/>
    <w:rsid w:val="00F3331D"/>
    <w:rsid w:val="00F52247"/>
    <w:rsid w:val="00F82A73"/>
    <w:rsid w:val="00F94B04"/>
    <w:rsid w:val="00FA0EBD"/>
    <w:rsid w:val="00FD1C71"/>
    <w:rsid w:val="00FE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7B35F"/>
  <w15:chartTrackingRefBased/>
  <w15:docId w15:val="{FC5C33D6-1B08-448B-AE13-0A2CF6AF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C8B"/>
    <w:rPr>
      <w:rFonts w:eastAsiaTheme="majorEastAsia" w:cstheme="majorBidi"/>
      <w:color w:val="272727" w:themeColor="text1" w:themeTint="D8"/>
    </w:rPr>
  </w:style>
  <w:style w:type="paragraph" w:styleId="Title">
    <w:name w:val="Title"/>
    <w:basedOn w:val="Normal"/>
    <w:next w:val="Normal"/>
    <w:link w:val="TitleChar"/>
    <w:uiPriority w:val="10"/>
    <w:qFormat/>
    <w:rsid w:val="00D43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C8B"/>
    <w:pPr>
      <w:spacing w:before="160"/>
      <w:jc w:val="center"/>
    </w:pPr>
    <w:rPr>
      <w:i/>
      <w:iCs/>
      <w:color w:val="404040" w:themeColor="text1" w:themeTint="BF"/>
    </w:rPr>
  </w:style>
  <w:style w:type="character" w:customStyle="1" w:styleId="QuoteChar">
    <w:name w:val="Quote Char"/>
    <w:basedOn w:val="DefaultParagraphFont"/>
    <w:link w:val="Quote"/>
    <w:uiPriority w:val="29"/>
    <w:rsid w:val="00D43C8B"/>
    <w:rPr>
      <w:i/>
      <w:iCs/>
      <w:color w:val="404040" w:themeColor="text1" w:themeTint="BF"/>
    </w:rPr>
  </w:style>
  <w:style w:type="paragraph" w:styleId="ListParagraph">
    <w:name w:val="List Paragraph"/>
    <w:basedOn w:val="Normal"/>
    <w:uiPriority w:val="34"/>
    <w:qFormat/>
    <w:rsid w:val="00D43C8B"/>
    <w:pPr>
      <w:ind w:left="720"/>
      <w:contextualSpacing/>
    </w:pPr>
  </w:style>
  <w:style w:type="character" w:styleId="IntenseEmphasis">
    <w:name w:val="Intense Emphasis"/>
    <w:basedOn w:val="DefaultParagraphFont"/>
    <w:uiPriority w:val="21"/>
    <w:qFormat/>
    <w:rsid w:val="00D43C8B"/>
    <w:rPr>
      <w:i/>
      <w:iCs/>
      <w:color w:val="0F4761" w:themeColor="accent1" w:themeShade="BF"/>
    </w:rPr>
  </w:style>
  <w:style w:type="paragraph" w:styleId="IntenseQuote">
    <w:name w:val="Intense Quote"/>
    <w:basedOn w:val="Normal"/>
    <w:next w:val="Normal"/>
    <w:link w:val="IntenseQuoteChar"/>
    <w:uiPriority w:val="30"/>
    <w:qFormat/>
    <w:rsid w:val="00D43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C8B"/>
    <w:rPr>
      <w:i/>
      <w:iCs/>
      <w:color w:val="0F4761" w:themeColor="accent1" w:themeShade="BF"/>
    </w:rPr>
  </w:style>
  <w:style w:type="character" w:styleId="IntenseReference">
    <w:name w:val="Intense Reference"/>
    <w:basedOn w:val="DefaultParagraphFont"/>
    <w:uiPriority w:val="32"/>
    <w:qFormat/>
    <w:rsid w:val="00D43C8B"/>
    <w:rPr>
      <w:b/>
      <w:bCs/>
      <w:smallCaps/>
      <w:color w:val="0F4761" w:themeColor="accent1" w:themeShade="BF"/>
      <w:spacing w:val="5"/>
    </w:rPr>
  </w:style>
  <w:style w:type="paragraph" w:styleId="Header">
    <w:name w:val="header"/>
    <w:basedOn w:val="Normal"/>
    <w:link w:val="HeaderChar"/>
    <w:unhideWhenUsed/>
    <w:rsid w:val="0024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68"/>
  </w:style>
  <w:style w:type="paragraph" w:styleId="Footer">
    <w:name w:val="footer"/>
    <w:basedOn w:val="Normal"/>
    <w:link w:val="FooterChar"/>
    <w:uiPriority w:val="99"/>
    <w:unhideWhenUsed/>
    <w:rsid w:val="0024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845</Words>
  <Characters>4518</Characters>
  <Application>Microsoft Office Word</Application>
  <DocSecurity>0</DocSecurity>
  <Lines>95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River@DIR</dc:creator>
  <cp:keywords/>
  <dc:description/>
  <cp:lastModifiedBy>Quan, Keenan@DIR</cp:lastModifiedBy>
  <cp:revision>4</cp:revision>
  <dcterms:created xsi:type="dcterms:W3CDTF">2026-03-17T15:35:00Z</dcterms:created>
  <dcterms:modified xsi:type="dcterms:W3CDTF">2026-03-17T16:39:00Z</dcterms:modified>
</cp:coreProperties>
</file>