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215623C6" wp14:editId="215623C7">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763694" w:rsidRPr="00D77937" w:rsidRDefault="00763694" w:rsidP="00763694">
      <w:pPr>
        <w:pStyle w:val="Title"/>
        <w:outlineLvl w:val="0"/>
        <w:rPr>
          <w:rFonts w:ascii="Arial" w:hAnsi="Arial" w:cs="Arial"/>
        </w:rPr>
      </w:pPr>
      <w:r w:rsidRPr="00D77937">
        <w:rPr>
          <w:rFonts w:ascii="Arial" w:hAnsi="Arial" w:cs="Arial"/>
        </w:rPr>
        <w:t>(</w:t>
      </w:r>
      <w:r w:rsidR="004A3E47">
        <w:rPr>
          <w:rFonts w:ascii="Arial" w:hAnsi="Arial" w:cs="Arial"/>
        </w:rPr>
        <w:t xml:space="preserve">Additional </w:t>
      </w:r>
      <w:r w:rsidRPr="00D77937">
        <w:rPr>
          <w:rFonts w:ascii="Arial" w:hAnsi="Arial" w:cs="Arial"/>
        </w:rPr>
        <w:t xml:space="preserve">OMFS Update for Hospital Outpatient Departments and Ambulatory Surgical Center Services - Effective </w:t>
      </w:r>
      <w:r w:rsidR="00D90A9D">
        <w:rPr>
          <w:rFonts w:ascii="Arial" w:hAnsi="Arial" w:cs="Arial"/>
        </w:rPr>
        <w:t>October 1, 2020)</w:t>
      </w:r>
    </w:p>
    <w:p w:rsidR="004A3E47" w:rsidRDefault="004A3E47" w:rsidP="003D1E6E">
      <w:pPr>
        <w:spacing w:before="360"/>
        <w:ind w:left="-720" w:right="-720"/>
        <w:rPr>
          <w:rFonts w:cs="Arial"/>
          <w:szCs w:val="24"/>
        </w:rPr>
      </w:pPr>
      <w:r w:rsidRPr="004A3E47">
        <w:rPr>
          <w:rFonts w:cs="Arial"/>
          <w:szCs w:val="24"/>
        </w:rPr>
        <w:t xml:space="preserve">On </w:t>
      </w:r>
      <w:r w:rsidR="00D90A9D">
        <w:rPr>
          <w:rFonts w:cs="Arial"/>
          <w:szCs w:val="24"/>
        </w:rPr>
        <w:t>October 7, 2020</w:t>
      </w:r>
      <w:r w:rsidRPr="004A3E47">
        <w:rPr>
          <w:rFonts w:cs="Arial"/>
          <w:szCs w:val="24"/>
        </w:rPr>
        <w:t xml:space="preserve">, 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w:t>
      </w:r>
      <w:r w:rsidR="00D90A9D">
        <w:rPr>
          <w:rFonts w:cs="Arial"/>
          <w:szCs w:val="24"/>
        </w:rPr>
        <w:t xml:space="preserve">October </w:t>
      </w:r>
      <w:r w:rsidRPr="004A3E47">
        <w:rPr>
          <w:rFonts w:cs="Arial"/>
          <w:szCs w:val="24"/>
        </w:rPr>
        <w:t xml:space="preserve">1, </w:t>
      </w:r>
      <w:r w:rsidR="00AF1FA5" w:rsidRPr="004A3E47">
        <w:rPr>
          <w:rFonts w:cs="Arial"/>
          <w:szCs w:val="24"/>
        </w:rPr>
        <w:t>20</w:t>
      </w:r>
      <w:r w:rsidR="00AF1FA5">
        <w:rPr>
          <w:rFonts w:cs="Arial"/>
          <w:szCs w:val="24"/>
        </w:rPr>
        <w:t>20</w:t>
      </w:r>
      <w:r w:rsidRPr="004A3E47">
        <w:rPr>
          <w:rFonts w:cs="Arial"/>
          <w:szCs w:val="24"/>
        </w:rPr>
        <w:t>.</w:t>
      </w:r>
      <w:r w:rsidR="008314B5">
        <w:rPr>
          <w:rFonts w:cs="Arial"/>
          <w:szCs w:val="24"/>
        </w:rPr>
        <w:t xml:space="preserve"> Subsequently, on </w:t>
      </w:r>
      <w:r w:rsidR="00D90A9D">
        <w:rPr>
          <w:rFonts w:cs="Arial"/>
          <w:szCs w:val="24"/>
        </w:rPr>
        <w:t>October 21, 2020</w:t>
      </w:r>
      <w:r w:rsidR="00A06E94">
        <w:rPr>
          <w:rFonts w:cs="Arial"/>
          <w:szCs w:val="24"/>
        </w:rPr>
        <w:t>,</w:t>
      </w:r>
      <w:r w:rsidR="005545FA">
        <w:rPr>
          <w:rFonts w:cs="Arial"/>
          <w:szCs w:val="24"/>
        </w:rPr>
        <w:t xml:space="preserve"> the Center</w:t>
      </w:r>
      <w:r w:rsidR="00A06E94">
        <w:rPr>
          <w:rFonts w:cs="Arial"/>
          <w:szCs w:val="24"/>
        </w:rPr>
        <w:t>s</w:t>
      </w:r>
      <w:r w:rsidR="005545FA">
        <w:rPr>
          <w:rFonts w:cs="Arial"/>
          <w:szCs w:val="24"/>
        </w:rPr>
        <w:t xml:space="preserve"> for Medicare and Medicaid Services (CMS) issued a corrected Addendum </w:t>
      </w:r>
      <w:r w:rsidR="00D90A9D">
        <w:rPr>
          <w:rFonts w:cs="Arial"/>
          <w:szCs w:val="24"/>
        </w:rPr>
        <w:t xml:space="preserve">A and </w:t>
      </w:r>
      <w:r w:rsidR="006A498F">
        <w:rPr>
          <w:rFonts w:cs="Arial"/>
          <w:szCs w:val="24"/>
        </w:rPr>
        <w:t xml:space="preserve">Addendum </w:t>
      </w:r>
      <w:r w:rsidR="005545FA">
        <w:rPr>
          <w:rFonts w:cs="Arial"/>
          <w:szCs w:val="24"/>
        </w:rPr>
        <w:t xml:space="preserve">B </w:t>
      </w:r>
      <w:r w:rsidR="00A06E94">
        <w:rPr>
          <w:rFonts w:cs="Arial"/>
          <w:szCs w:val="24"/>
        </w:rPr>
        <w:t>to supersede the previous document</w:t>
      </w:r>
      <w:r w:rsidR="006A498F">
        <w:rPr>
          <w:rFonts w:cs="Arial"/>
          <w:szCs w:val="24"/>
        </w:rPr>
        <w:t>s</w:t>
      </w:r>
      <w:r w:rsidR="00A06E94">
        <w:rPr>
          <w:rFonts w:cs="Arial"/>
          <w:szCs w:val="24"/>
        </w:rPr>
        <w:t xml:space="preserve">, </w:t>
      </w:r>
      <w:r w:rsidR="005545FA">
        <w:rPr>
          <w:rFonts w:cs="Arial"/>
          <w:szCs w:val="24"/>
        </w:rPr>
        <w:t xml:space="preserve">effective </w:t>
      </w:r>
      <w:r w:rsidR="00D90A9D">
        <w:rPr>
          <w:rFonts w:cs="Arial"/>
          <w:szCs w:val="24"/>
        </w:rPr>
        <w:t>October 1, 2020</w:t>
      </w:r>
      <w:r w:rsidR="005545FA">
        <w:rPr>
          <w:rFonts w:cs="Arial"/>
          <w:szCs w:val="24"/>
        </w:rPr>
        <w:t>.</w:t>
      </w:r>
    </w:p>
    <w:p w:rsidR="004A3E47" w:rsidRPr="004A3E47" w:rsidRDefault="008452FB" w:rsidP="00D236E1">
      <w:pPr>
        <w:spacing w:before="240"/>
        <w:ind w:left="-720" w:right="-720"/>
        <w:rPr>
          <w:rFonts w:cs="Arial"/>
          <w:szCs w:val="24"/>
        </w:rPr>
      </w:pPr>
      <w:r>
        <w:rPr>
          <w:rFonts w:cs="Arial"/>
          <w:szCs w:val="24"/>
        </w:rPr>
        <w:t>P</w:t>
      </w:r>
      <w:r w:rsidRPr="004A3E47">
        <w:rPr>
          <w:rFonts w:cs="Arial"/>
          <w:szCs w:val="24"/>
        </w:rPr>
        <w:t xml:space="preserve">ursuant to Labor Code section 5307.1(g)(1),(2), </w:t>
      </w:r>
      <w:r w:rsidR="004A3E47" w:rsidRPr="004A3E47">
        <w:rPr>
          <w:rFonts w:cs="Arial"/>
          <w:b/>
          <w:szCs w:val="24"/>
        </w:rPr>
        <w:t>Title 8, California Code of Regulations, section 9789.39</w:t>
      </w:r>
      <w:r>
        <w:rPr>
          <w:rFonts w:cs="Arial"/>
          <w:b/>
          <w:szCs w:val="24"/>
        </w:rPr>
        <w:t>,</w:t>
      </w:r>
      <w:r w:rsidR="004A3E47" w:rsidRPr="004A3E47">
        <w:rPr>
          <w:rFonts w:cs="Arial"/>
          <w:b/>
          <w:szCs w:val="24"/>
        </w:rPr>
        <w:t xml:space="preserve"> subdivision (b),</w:t>
      </w:r>
      <w:r w:rsidR="004A3E47" w:rsidRPr="004A3E47">
        <w:rPr>
          <w:rFonts w:cs="Arial"/>
          <w:szCs w:val="24"/>
        </w:rPr>
        <w:t xml:space="preserve"> is amended to adopt </w:t>
      </w:r>
      <w:r w:rsidR="007813A6">
        <w:rPr>
          <w:rFonts w:cs="Arial"/>
          <w:szCs w:val="24"/>
        </w:rPr>
        <w:t xml:space="preserve">and incorporate by reference </w:t>
      </w:r>
      <w:r w:rsidR="004A3E47" w:rsidRPr="004A3E47">
        <w:rPr>
          <w:rFonts w:cs="Arial"/>
          <w:szCs w:val="24"/>
        </w:rPr>
        <w:t>CMS’</w:t>
      </w:r>
      <w:r w:rsidR="004A3E47">
        <w:rPr>
          <w:rFonts w:cs="Arial"/>
          <w:szCs w:val="24"/>
        </w:rPr>
        <w:t xml:space="preserve"> HOPPS addendum</w:t>
      </w:r>
      <w:r w:rsidR="004267B5">
        <w:rPr>
          <w:rFonts w:cs="Arial"/>
          <w:szCs w:val="24"/>
        </w:rPr>
        <w:t xml:space="preserve"> A and</w:t>
      </w:r>
      <w:r w:rsidR="004A3E47">
        <w:rPr>
          <w:rFonts w:cs="Arial"/>
          <w:szCs w:val="24"/>
        </w:rPr>
        <w:t xml:space="preserve"> </w:t>
      </w:r>
      <w:r w:rsidR="006A498F">
        <w:rPr>
          <w:rFonts w:cs="Arial"/>
          <w:szCs w:val="24"/>
        </w:rPr>
        <w:t xml:space="preserve">addendum </w:t>
      </w:r>
      <w:r w:rsidR="004A3E47">
        <w:rPr>
          <w:rFonts w:cs="Arial"/>
          <w:szCs w:val="24"/>
        </w:rPr>
        <w:t xml:space="preserve">B </w:t>
      </w:r>
      <w:r w:rsidR="004A3E47" w:rsidRPr="004A3E47">
        <w:rPr>
          <w:rFonts w:cs="Arial"/>
          <w:szCs w:val="24"/>
        </w:rPr>
        <w:t xml:space="preserve">found in the </w:t>
      </w:r>
      <w:hyperlink r:id="rId9" w:history="1">
        <w:r w:rsidR="004267B5" w:rsidRPr="004267B5">
          <w:rPr>
            <w:rStyle w:val="Hyperlink"/>
            <w:rFonts w:cs="Arial"/>
            <w:szCs w:val="24"/>
          </w:rPr>
          <w:t xml:space="preserve">October </w:t>
        </w:r>
        <w:r w:rsidR="004A3E47" w:rsidRPr="004267B5">
          <w:rPr>
            <w:rStyle w:val="Hyperlink"/>
            <w:rFonts w:cs="Arial"/>
            <w:szCs w:val="24"/>
          </w:rPr>
          <w:t>CO</w:t>
        </w:r>
        <w:r w:rsidR="004267B5" w:rsidRPr="004267B5">
          <w:rPr>
            <w:rStyle w:val="Hyperlink"/>
            <w:rFonts w:cs="Arial"/>
            <w:szCs w:val="24"/>
          </w:rPr>
          <w:t>RRECTION Addendum A (ZIP) -</w:t>
        </w:r>
        <w:r w:rsidR="0070427F">
          <w:rPr>
            <w:rStyle w:val="Hyperlink"/>
            <w:rFonts w:cs="Arial"/>
            <w:szCs w:val="24"/>
          </w:rPr>
          <w:t xml:space="preserve"> </w:t>
        </w:r>
        <w:r w:rsidR="004267B5" w:rsidRPr="004267B5">
          <w:rPr>
            <w:rStyle w:val="Hyperlink"/>
            <w:rFonts w:cs="Arial"/>
            <w:szCs w:val="24"/>
          </w:rPr>
          <w:t>updated 10/21/2020;</w:t>
        </w:r>
      </w:hyperlink>
      <w:r w:rsidR="004267B5">
        <w:rPr>
          <w:rFonts w:cs="Arial"/>
          <w:szCs w:val="24"/>
        </w:rPr>
        <w:t xml:space="preserve"> and </w:t>
      </w:r>
      <w:hyperlink r:id="rId10" w:history="1">
        <w:r w:rsidR="004267B5" w:rsidRPr="004267B5">
          <w:rPr>
            <w:rStyle w:val="Hyperlink"/>
            <w:rFonts w:cs="Arial"/>
            <w:szCs w:val="24"/>
          </w:rPr>
          <w:t xml:space="preserve">October CORRECTION Addendum B (ZIP) – updated 10/21/2020 </w:t>
        </w:r>
        <w:r w:rsidR="004A3E47" w:rsidRPr="004267B5">
          <w:rPr>
            <w:rStyle w:val="Hyperlink"/>
            <w:rFonts w:cs="Arial"/>
            <w:szCs w:val="24"/>
          </w:rPr>
          <w:t>file</w:t>
        </w:r>
      </w:hyperlink>
      <w:r w:rsidR="004A3E47" w:rsidRPr="004A3E47">
        <w:rPr>
          <w:rFonts w:cs="Arial"/>
          <w:szCs w:val="24"/>
        </w:rPr>
        <w:t>, in place of the original file</w:t>
      </w:r>
      <w:r w:rsidR="006A498F">
        <w:rPr>
          <w:rFonts w:cs="Arial"/>
          <w:szCs w:val="24"/>
        </w:rPr>
        <w:t>s</w:t>
      </w:r>
      <w:r w:rsidR="004A3E47" w:rsidRPr="004A3E47">
        <w:rPr>
          <w:rFonts w:cs="Arial"/>
          <w:szCs w:val="24"/>
        </w:rPr>
        <w:t xml:space="preserve">, for services rendered on or after </w:t>
      </w:r>
      <w:r w:rsidR="004267B5">
        <w:rPr>
          <w:rFonts w:cs="Arial"/>
          <w:szCs w:val="24"/>
        </w:rPr>
        <w:t>October 1, 2020</w:t>
      </w:r>
      <w:r w:rsidR="007F795A">
        <w:rPr>
          <w:rFonts w:cs="Arial"/>
          <w:szCs w:val="24"/>
        </w:rPr>
        <w:t>.</w:t>
      </w:r>
      <w:r w:rsidR="009F7951">
        <w:rPr>
          <w:rFonts w:cs="Arial"/>
          <w:szCs w:val="24"/>
        </w:rPr>
        <w:t xml:space="preserve"> </w:t>
      </w:r>
    </w:p>
    <w:p w:rsidR="00763694" w:rsidRDefault="00763694" w:rsidP="00D236E1">
      <w:pPr>
        <w:spacing w:before="240" w:after="360"/>
        <w:ind w:left="-720" w:right="-720"/>
        <w:rPr>
          <w:rFonts w:cs="Arial"/>
          <w:szCs w:val="24"/>
        </w:rPr>
      </w:pPr>
      <w:r w:rsidRPr="00D77937">
        <w:rPr>
          <w:rFonts w:cs="Arial"/>
          <w:szCs w:val="24"/>
        </w:rPr>
        <w:t>This Order adopts changes to the OMFS for the Hosp</w:t>
      </w:r>
      <w:r w:rsidR="00F543D0">
        <w:rPr>
          <w:rFonts w:cs="Arial"/>
          <w:szCs w:val="24"/>
        </w:rPr>
        <w:t xml:space="preserve">ital Outpatient Departments and </w:t>
      </w:r>
      <w:r w:rsidRPr="00D77937">
        <w:rPr>
          <w:rFonts w:cs="Arial"/>
          <w:szCs w:val="24"/>
        </w:rPr>
        <w:t>Ambulatory Surgical Centers services to conform to Medicare changes</w:t>
      </w:r>
      <w:r w:rsidR="009F7951">
        <w:rPr>
          <w:rFonts w:cs="Arial"/>
          <w:szCs w:val="24"/>
        </w:rPr>
        <w:t xml:space="preserve"> as follows</w:t>
      </w:r>
      <w:r w:rsidRPr="00D77937">
        <w:rPr>
          <w:rFonts w:cs="Arial"/>
          <w:szCs w:val="24"/>
        </w:rPr>
        <w:t>:</w:t>
      </w:r>
    </w:p>
    <w:tbl>
      <w:tblPr>
        <w:tblStyle w:val="TableGrid"/>
        <w:tblpPr w:leftFromText="180" w:rightFromText="180" w:vertAnchor="text" w:tblpY="1"/>
        <w:tblOverlap w:val="never"/>
        <w:tblW w:w="0" w:type="auto"/>
        <w:tblLook w:val="04A0" w:firstRow="1" w:lastRow="0" w:firstColumn="1" w:lastColumn="0" w:noHBand="0" w:noVBand="1"/>
        <w:tblCaption w:val="Section 9789.39.  Update factors and Federal Register Notices by Date of Service [Excerpt]"/>
        <w:tblDescription w:val="The table is an excerpt of the table adopted into title 8, California Code of Regulations section 9789.39, subdivision (b), showing only the portions that are amended by the Order."/>
      </w:tblPr>
      <w:tblGrid>
        <w:gridCol w:w="1897"/>
        <w:gridCol w:w="6733"/>
      </w:tblGrid>
      <w:tr w:rsidR="00803AE8" w:rsidRPr="00AE288D" w:rsidTr="004A77F0">
        <w:trPr>
          <w:tblHeader/>
        </w:trPr>
        <w:tc>
          <w:tcPr>
            <w:tcW w:w="1897" w:type="dxa"/>
          </w:tcPr>
          <w:p w:rsidR="00803AE8" w:rsidRPr="006547D4" w:rsidRDefault="00803AE8" w:rsidP="004A77F0">
            <w:pPr>
              <w:autoSpaceDE/>
              <w:autoSpaceDN/>
              <w:adjustRightInd/>
              <w:rPr>
                <w:rFonts w:cs="Arial"/>
                <w:szCs w:val="24"/>
              </w:rPr>
            </w:pPr>
          </w:p>
        </w:tc>
        <w:tc>
          <w:tcPr>
            <w:tcW w:w="6733" w:type="dxa"/>
          </w:tcPr>
          <w:p w:rsidR="00803AE8" w:rsidRDefault="00803AE8" w:rsidP="004267B5">
            <w:pPr>
              <w:autoSpaceDE/>
              <w:autoSpaceDN/>
              <w:adjustRightInd/>
              <w:rPr>
                <w:rFonts w:cs="Arial"/>
                <w:szCs w:val="24"/>
              </w:rPr>
            </w:pPr>
            <w:r w:rsidRPr="00FF28D3">
              <w:t xml:space="preserve">Services Occurring On or After </w:t>
            </w:r>
            <w:r w:rsidR="004267B5">
              <w:t>October 1, 2020</w:t>
            </w:r>
            <w:r w:rsidRPr="00FF28D3">
              <w:t xml:space="preserve"> and Mid-year Updates</w:t>
            </w:r>
          </w:p>
        </w:tc>
      </w:tr>
      <w:tr w:rsidR="00993DED" w:rsidRPr="00AE288D" w:rsidTr="004A77F0">
        <w:tc>
          <w:tcPr>
            <w:tcW w:w="1897" w:type="dxa"/>
          </w:tcPr>
          <w:p w:rsidR="00993DED" w:rsidRPr="006547D4" w:rsidRDefault="00993DED" w:rsidP="004A77F0">
            <w:pPr>
              <w:autoSpaceDE/>
              <w:autoSpaceDN/>
              <w:adjustRightInd/>
              <w:rPr>
                <w:rFonts w:cs="Arial"/>
                <w:szCs w:val="24"/>
              </w:rPr>
            </w:pPr>
            <w:r w:rsidRPr="006547D4">
              <w:rPr>
                <w:rFonts w:cs="Arial"/>
                <w:szCs w:val="24"/>
              </w:rPr>
              <w:t>APC Relative Weight</w:t>
            </w:r>
          </w:p>
        </w:tc>
        <w:tc>
          <w:tcPr>
            <w:tcW w:w="6733" w:type="dxa"/>
          </w:tcPr>
          <w:p w:rsidR="00993DED" w:rsidRDefault="00146E67" w:rsidP="004A77F0">
            <w:pPr>
              <w:autoSpaceDE/>
              <w:autoSpaceDN/>
              <w:adjustRightInd/>
              <w:rPr>
                <w:rFonts w:cs="Arial"/>
                <w:szCs w:val="24"/>
              </w:rPr>
            </w:pPr>
            <w:r>
              <w:rPr>
                <w:rFonts w:cs="Arial"/>
                <w:szCs w:val="24"/>
              </w:rPr>
              <w:t>[Omitted unchanged language]</w:t>
            </w:r>
          </w:p>
          <w:p w:rsidR="008C062B" w:rsidRDefault="008C062B" w:rsidP="004A77F0">
            <w:pPr>
              <w:autoSpaceDE/>
              <w:autoSpaceDN/>
              <w:adjustRightInd/>
              <w:rPr>
                <w:rFonts w:cs="Arial"/>
                <w:szCs w:val="24"/>
              </w:rPr>
            </w:pPr>
          </w:p>
          <w:p w:rsidR="00993DED" w:rsidRPr="00AE288D" w:rsidRDefault="004267B5" w:rsidP="004A77F0">
            <w:pPr>
              <w:autoSpaceDE/>
              <w:autoSpaceDN/>
              <w:adjustRightInd/>
              <w:rPr>
                <w:rFonts w:cs="Arial"/>
                <w:szCs w:val="24"/>
              </w:rPr>
            </w:pPr>
            <w:r w:rsidRPr="00182122">
              <w:rPr>
                <w:rFonts w:cs="Arial"/>
                <w:szCs w:val="24"/>
              </w:rPr>
              <w:t xml:space="preserve">For services occurring on or after October 1, 2020, </w:t>
            </w:r>
            <w:hyperlink r:id="rId11" w:history="1">
              <w:r w:rsidRPr="00231C68">
                <w:rPr>
                  <w:rStyle w:val="Hyperlink"/>
                  <w:rFonts w:cs="Arial"/>
                  <w:szCs w:val="24"/>
                </w:rPr>
                <w:t>Addendum B, October 2020 CORRECTION</w:t>
              </w:r>
            </w:hyperlink>
            <w:r>
              <w:rPr>
                <w:rFonts w:cs="Arial"/>
                <w:szCs w:val="24"/>
              </w:rPr>
              <w:t xml:space="preserve"> </w:t>
            </w:r>
            <w:r w:rsidRPr="00231C68">
              <w:rPr>
                <w:rFonts w:cs="Arial"/>
                <w:szCs w:val="24"/>
              </w:rPr>
              <w:t>dated</w:t>
            </w:r>
            <w:r w:rsidRPr="00182122">
              <w:rPr>
                <w:rFonts w:cs="Arial"/>
                <w:szCs w:val="24"/>
              </w:rPr>
              <w:t xml:space="preserve"> </w:t>
            </w:r>
            <w:r w:rsidRPr="00231C68">
              <w:rPr>
                <w:rFonts w:cs="Arial"/>
                <w:strike/>
                <w:szCs w:val="24"/>
              </w:rPr>
              <w:t>September 25, 2020 (2020_October_Web_Addendum_B.09252020.xlsx</w:t>
            </w:r>
            <w:r>
              <w:rPr>
                <w:rFonts w:cs="Arial"/>
                <w:strike/>
                <w:szCs w:val="24"/>
              </w:rPr>
              <w:t>)</w:t>
            </w:r>
            <w:r>
              <w:rPr>
                <w:rFonts w:cs="Arial"/>
                <w:szCs w:val="24"/>
              </w:rPr>
              <w:t xml:space="preserve"> </w:t>
            </w:r>
            <w:r>
              <w:rPr>
                <w:rFonts w:cs="Arial"/>
                <w:szCs w:val="24"/>
                <w:u w:val="double"/>
              </w:rPr>
              <w:t>October 21, 2020 (</w:t>
            </w:r>
            <w:r w:rsidRPr="00231C68">
              <w:rPr>
                <w:rFonts w:cs="Arial"/>
                <w:szCs w:val="24"/>
                <w:u w:val="double"/>
              </w:rPr>
              <w:t>2020_October_Web_Addendum_B.10212020</w:t>
            </w:r>
            <w:r>
              <w:rPr>
                <w:rFonts w:cs="Arial"/>
                <w:szCs w:val="24"/>
                <w:u w:val="double"/>
              </w:rPr>
              <w:t>.xlsx)</w:t>
            </w:r>
            <w:r w:rsidRPr="00AE288D">
              <w:rPr>
                <w:rFonts w:cs="Arial"/>
                <w:szCs w:val="24"/>
              </w:rPr>
              <w:t xml:space="preserve"> </w:t>
            </w:r>
          </w:p>
        </w:tc>
      </w:tr>
      <w:tr w:rsidR="003D64DA" w:rsidRPr="0023004E" w:rsidTr="004A77F0">
        <w:tc>
          <w:tcPr>
            <w:tcW w:w="1897" w:type="dxa"/>
          </w:tcPr>
          <w:p w:rsidR="003D64DA" w:rsidRPr="006547D4" w:rsidRDefault="003D64DA" w:rsidP="004A77F0">
            <w:pPr>
              <w:autoSpaceDE/>
              <w:autoSpaceDN/>
              <w:adjustRightInd/>
              <w:rPr>
                <w:rFonts w:cs="Arial"/>
                <w:szCs w:val="24"/>
              </w:rPr>
            </w:pPr>
            <w:r w:rsidRPr="006547D4">
              <w:rPr>
                <w:rFonts w:cs="Arial"/>
                <w:szCs w:val="24"/>
              </w:rPr>
              <w:t>HOPPS Addenda</w:t>
            </w:r>
          </w:p>
        </w:tc>
        <w:tc>
          <w:tcPr>
            <w:tcW w:w="6733" w:type="dxa"/>
          </w:tcPr>
          <w:p w:rsidR="003D64DA" w:rsidRDefault="003D64DA" w:rsidP="004A77F0">
            <w:pPr>
              <w:autoSpaceDE/>
              <w:autoSpaceDN/>
              <w:adjustRightInd/>
              <w:ind w:right="60"/>
              <w:rPr>
                <w:rFonts w:cs="Arial"/>
                <w:szCs w:val="24"/>
              </w:rPr>
            </w:pPr>
            <w:r>
              <w:rPr>
                <w:rFonts w:cs="Arial"/>
                <w:szCs w:val="24"/>
              </w:rPr>
              <w:t>[Omitted unchanged language]</w:t>
            </w:r>
          </w:p>
          <w:p w:rsidR="008C062B" w:rsidRDefault="008C062B" w:rsidP="008C062B">
            <w:pPr>
              <w:autoSpaceDE/>
              <w:autoSpaceDN/>
              <w:adjustRightInd/>
              <w:rPr>
                <w:rFonts w:cs="Arial"/>
                <w:szCs w:val="24"/>
                <w:u w:val="double"/>
              </w:rPr>
            </w:pPr>
          </w:p>
          <w:p w:rsidR="004267B5" w:rsidRPr="006A498F" w:rsidRDefault="004267B5" w:rsidP="004267B5">
            <w:pPr>
              <w:autoSpaceDE/>
              <w:autoSpaceDN/>
              <w:adjustRightInd/>
              <w:ind w:right="60"/>
              <w:rPr>
                <w:rFonts w:cs="Arial"/>
                <w:szCs w:val="24"/>
              </w:rPr>
            </w:pPr>
            <w:r w:rsidRPr="006A498F">
              <w:rPr>
                <w:rFonts w:cs="Arial"/>
                <w:szCs w:val="24"/>
              </w:rPr>
              <w:t>For services occurring on or after October 1, 2020 addenda:</w:t>
            </w:r>
          </w:p>
          <w:p w:rsidR="004267B5" w:rsidRPr="00231C68" w:rsidRDefault="004267B5" w:rsidP="004267B5">
            <w:pPr>
              <w:numPr>
                <w:ilvl w:val="0"/>
                <w:numId w:val="14"/>
              </w:numPr>
              <w:overflowPunct/>
              <w:autoSpaceDE/>
              <w:autoSpaceDN/>
              <w:adjustRightInd/>
              <w:ind w:right="60"/>
              <w:textAlignment w:val="auto"/>
              <w:rPr>
                <w:rFonts w:cs="Arial"/>
                <w:szCs w:val="24"/>
                <w:u w:val="single"/>
              </w:rPr>
            </w:pPr>
            <w:r w:rsidRPr="002713F0">
              <w:rPr>
                <w:rFonts w:cs="Arial"/>
                <w:szCs w:val="24"/>
              </w:rPr>
              <w:t xml:space="preserve">A (October 2020 </w:t>
            </w:r>
            <w:r>
              <w:rPr>
                <w:rFonts w:cs="Arial"/>
                <w:szCs w:val="24"/>
                <w:u w:val="double"/>
              </w:rPr>
              <w:t xml:space="preserve">CORRECTION </w:t>
            </w:r>
            <w:r w:rsidRPr="002713F0">
              <w:rPr>
                <w:rFonts w:cs="Arial"/>
                <w:szCs w:val="24"/>
              </w:rPr>
              <w:t>Addendum A</w:t>
            </w:r>
            <w:r w:rsidRPr="00182122">
              <w:rPr>
                <w:rFonts w:cs="Arial"/>
                <w:szCs w:val="24"/>
              </w:rPr>
              <w:t xml:space="preserve">; </w:t>
            </w:r>
            <w:r w:rsidRPr="00231C68">
              <w:rPr>
                <w:rFonts w:cs="Arial"/>
                <w:strike/>
                <w:szCs w:val="24"/>
                <w:u w:val="single"/>
              </w:rPr>
              <w:t>2020_October_Web_Addendum_A.09252020.xlsx)</w:t>
            </w:r>
            <w:r w:rsidRPr="00231C68">
              <w:rPr>
                <w:rFonts w:cs="Arial"/>
                <w:szCs w:val="24"/>
                <w:u w:val="single"/>
              </w:rPr>
              <w:t xml:space="preserve"> </w:t>
            </w:r>
            <w:hyperlink r:id="rId12" w:history="1">
              <w:r w:rsidRPr="00231C68">
                <w:rPr>
                  <w:rStyle w:val="Hyperlink"/>
                  <w:rFonts w:cs="Arial"/>
                  <w:szCs w:val="24"/>
                </w:rPr>
                <w:t>2020_October_Web_Addendum_A.10212020.xlsx)</w:t>
              </w:r>
            </w:hyperlink>
          </w:p>
          <w:p w:rsidR="004267B5" w:rsidRPr="00231C68" w:rsidRDefault="004267B5" w:rsidP="004267B5">
            <w:pPr>
              <w:numPr>
                <w:ilvl w:val="0"/>
                <w:numId w:val="14"/>
              </w:numPr>
              <w:overflowPunct/>
              <w:autoSpaceDE/>
              <w:autoSpaceDN/>
              <w:adjustRightInd/>
              <w:ind w:right="60"/>
              <w:textAlignment w:val="auto"/>
              <w:rPr>
                <w:rFonts w:cs="Arial"/>
                <w:strike/>
                <w:szCs w:val="24"/>
                <w:u w:val="single"/>
              </w:rPr>
            </w:pPr>
            <w:r w:rsidRPr="00182122">
              <w:rPr>
                <w:rFonts w:cs="Arial"/>
                <w:szCs w:val="24"/>
              </w:rPr>
              <w:lastRenderedPageBreak/>
              <w:t xml:space="preserve">B (October 2020 </w:t>
            </w:r>
            <w:r>
              <w:rPr>
                <w:rFonts w:cs="Arial"/>
                <w:szCs w:val="24"/>
                <w:u w:val="double"/>
              </w:rPr>
              <w:t xml:space="preserve">CORRECTION </w:t>
            </w:r>
            <w:r w:rsidRPr="00182122">
              <w:rPr>
                <w:rFonts w:cs="Arial"/>
                <w:szCs w:val="24"/>
              </w:rPr>
              <w:t xml:space="preserve">Addendum B; </w:t>
            </w:r>
            <w:hyperlink r:id="rId13" w:history="1">
              <w:r w:rsidRPr="00231C68">
                <w:rPr>
                  <w:rStyle w:val="Hyperlink"/>
                  <w:rFonts w:cs="Arial"/>
                  <w:strike/>
                  <w:szCs w:val="24"/>
                </w:rPr>
                <w:t xml:space="preserve">2020 </w:t>
              </w:r>
              <w:proofErr w:type="spellStart"/>
              <w:r w:rsidRPr="00231C68">
                <w:rPr>
                  <w:rStyle w:val="Hyperlink"/>
                  <w:rFonts w:cs="Arial"/>
                  <w:strike/>
                  <w:szCs w:val="24"/>
                </w:rPr>
                <w:t>October_Web_Addendum</w:t>
              </w:r>
              <w:proofErr w:type="spellEnd"/>
              <w:r w:rsidRPr="00231C68">
                <w:rPr>
                  <w:rStyle w:val="Hyperlink"/>
                  <w:rFonts w:cs="Arial"/>
                  <w:strike/>
                  <w:szCs w:val="24"/>
                </w:rPr>
                <w:t>_ B.09252020.xlsx)</w:t>
              </w:r>
            </w:hyperlink>
            <w:r>
              <w:rPr>
                <w:rStyle w:val="Hyperlink"/>
                <w:rFonts w:cs="Arial"/>
                <w:szCs w:val="24"/>
              </w:rPr>
              <w:t xml:space="preserve"> </w:t>
            </w:r>
            <w:hyperlink r:id="rId14" w:history="1">
              <w:r w:rsidRPr="00231C68">
                <w:rPr>
                  <w:rStyle w:val="Hyperlink"/>
                  <w:rFonts w:cs="Arial"/>
                  <w:szCs w:val="24"/>
                </w:rPr>
                <w:t>2020_October_Web_Addendum_B.10212020.xlsx)</w:t>
              </w:r>
            </w:hyperlink>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D1 (CY2020 NFRM OPPS Addenda; CY2020 NFRM Addendum D1.11012019.xlsx)</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D2 (CY2020 NFRM OPPS Addenda; CY2020 NFRM Addendum D2.11012019.xlsm)</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E (CY2020 NFRM OPPS Addenda; CY2020 NFRM Addendum E.11012019.xlsx)</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J (CY2020 NFRM OPPS Addenda; CY2020 NFRM Addendum J.1101201.xls)</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L (CY2020 NFRM OPPS Addenda; CY2020 NFRM Addendum L.11012019.xlsx)</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M (CY2020 NFRM OPPS Addenda; CY2020 NFRM Addendum M.11012019.xlsx)</w:t>
            </w:r>
          </w:p>
          <w:p w:rsidR="004267B5" w:rsidRPr="00182122" w:rsidRDefault="004267B5" w:rsidP="004267B5">
            <w:pPr>
              <w:numPr>
                <w:ilvl w:val="0"/>
                <w:numId w:val="14"/>
              </w:numPr>
              <w:overflowPunct/>
              <w:autoSpaceDE/>
              <w:autoSpaceDN/>
              <w:adjustRightInd/>
              <w:ind w:right="60"/>
              <w:textAlignment w:val="auto"/>
              <w:rPr>
                <w:rFonts w:cs="Arial"/>
                <w:szCs w:val="24"/>
              </w:rPr>
            </w:pPr>
            <w:r w:rsidRPr="00182122">
              <w:rPr>
                <w:rFonts w:cs="Arial"/>
                <w:szCs w:val="24"/>
              </w:rPr>
              <w:t>P (CY2020 CN Addendum P; CY2020 CN Addendum P.12202019.xlsx)</w:t>
            </w:r>
          </w:p>
          <w:p w:rsidR="003D64DA" w:rsidRDefault="003D64DA" w:rsidP="004267B5">
            <w:pPr>
              <w:overflowPunct/>
              <w:autoSpaceDE/>
              <w:autoSpaceDN/>
              <w:adjustRightInd/>
              <w:spacing w:after="120"/>
              <w:ind w:right="58"/>
              <w:textAlignment w:val="auto"/>
              <w:rPr>
                <w:rFonts w:cs="Arial"/>
                <w:szCs w:val="24"/>
              </w:rPr>
            </w:pPr>
          </w:p>
        </w:tc>
      </w:tr>
    </w:tbl>
    <w:p w:rsidR="0070427F" w:rsidRDefault="0070427F" w:rsidP="0070427F">
      <w:pPr>
        <w:overflowPunct/>
        <w:autoSpaceDE/>
        <w:autoSpaceDN/>
        <w:adjustRightInd/>
        <w:spacing w:after="160" w:line="259" w:lineRule="auto"/>
        <w:ind w:right="720"/>
        <w:textAlignment w:val="auto"/>
        <w:rPr>
          <w:rFonts w:cs="Arial"/>
          <w:szCs w:val="24"/>
        </w:rPr>
      </w:pPr>
    </w:p>
    <w:p w:rsidR="0070427F" w:rsidRDefault="0070427F" w:rsidP="004267B5">
      <w:pPr>
        <w:spacing w:before="360"/>
        <w:ind w:left="-720" w:right="-720"/>
        <w:rPr>
          <w:rFonts w:cs="Arial"/>
          <w:szCs w:val="24"/>
        </w:rPr>
      </w:pPr>
      <w:r>
        <w:rPr>
          <w:rFonts w:cs="Arial"/>
          <w:szCs w:val="24"/>
        </w:rPr>
        <w:t xml:space="preserve">This Order also corrects a clerical error in </w:t>
      </w:r>
      <w:r w:rsidRPr="0070427F">
        <w:rPr>
          <w:rFonts w:cs="Arial"/>
          <w:szCs w:val="24"/>
        </w:rPr>
        <w:t xml:space="preserve">the reference to the Integrated Outpatient Code Editor provisions relating to Comprehensive APC </w:t>
      </w:r>
      <w:r>
        <w:rPr>
          <w:rFonts w:cs="Arial"/>
          <w:szCs w:val="24"/>
        </w:rPr>
        <w:t>(J1 and J2) Status Indicator as follows:</w:t>
      </w:r>
    </w:p>
    <w:p w:rsidR="0070427F" w:rsidRDefault="0070427F" w:rsidP="00E51253">
      <w:pPr>
        <w:spacing w:before="360"/>
        <w:ind w:right="-720"/>
        <w:rPr>
          <w:rFonts w:cs="Arial"/>
          <w:szCs w:val="24"/>
        </w:rPr>
      </w:pPr>
    </w:p>
    <w:tbl>
      <w:tblPr>
        <w:tblStyle w:val="TableGrid"/>
        <w:tblW w:w="0" w:type="auto"/>
        <w:tblLook w:val="04A0" w:firstRow="1" w:lastRow="0" w:firstColumn="1" w:lastColumn="0" w:noHBand="0" w:noVBand="1"/>
        <w:tblCaption w:val="Services Occurring On or After March 1, 2020 and Mid-year Updates"/>
      </w:tblPr>
      <w:tblGrid>
        <w:gridCol w:w="1897"/>
        <w:gridCol w:w="6733"/>
      </w:tblGrid>
      <w:tr w:rsidR="00342CF4" w:rsidRPr="0023004E" w:rsidTr="00342CF4">
        <w:trPr>
          <w:tblHeader/>
        </w:trPr>
        <w:tc>
          <w:tcPr>
            <w:tcW w:w="1897" w:type="dxa"/>
          </w:tcPr>
          <w:p w:rsidR="00342CF4" w:rsidRPr="006547D4" w:rsidRDefault="00342CF4" w:rsidP="00342CF4">
            <w:pPr>
              <w:autoSpaceDE/>
              <w:autoSpaceDN/>
              <w:adjustRightInd/>
              <w:rPr>
                <w:rFonts w:cs="Arial"/>
                <w:szCs w:val="24"/>
              </w:rPr>
            </w:pPr>
          </w:p>
        </w:tc>
        <w:tc>
          <w:tcPr>
            <w:tcW w:w="6733" w:type="dxa"/>
          </w:tcPr>
          <w:p w:rsidR="00342CF4" w:rsidRDefault="00342CF4" w:rsidP="00342CF4">
            <w:pPr>
              <w:autoSpaceDE/>
              <w:autoSpaceDN/>
              <w:adjustRightInd/>
              <w:rPr>
                <w:rFonts w:cs="Arial"/>
                <w:szCs w:val="24"/>
              </w:rPr>
            </w:pPr>
            <w:r w:rsidRPr="006547D4">
              <w:rPr>
                <w:rFonts w:cs="Arial"/>
                <w:szCs w:val="24"/>
              </w:rPr>
              <w:t>Services Occurring On or After March 1, 2020 and Mid-year Updates</w:t>
            </w:r>
          </w:p>
        </w:tc>
      </w:tr>
      <w:tr w:rsidR="00342CF4" w:rsidRPr="0023004E" w:rsidTr="00342CF4">
        <w:tc>
          <w:tcPr>
            <w:tcW w:w="1897" w:type="dxa"/>
          </w:tcPr>
          <w:p w:rsidR="00342CF4" w:rsidRPr="006547D4" w:rsidRDefault="00342CF4" w:rsidP="00342CF4">
            <w:pPr>
              <w:autoSpaceDE/>
              <w:autoSpaceDN/>
              <w:adjustRightInd/>
              <w:rPr>
                <w:rFonts w:cs="Arial"/>
                <w:szCs w:val="24"/>
              </w:rPr>
            </w:pPr>
            <w:r w:rsidRPr="006547D4">
              <w:rPr>
                <w:rFonts w:cs="Arial"/>
                <w:szCs w:val="24"/>
              </w:rPr>
              <w:t>Comprehensive APCs (codes assigned status indicator “J1” or “J2”) payment rules</w:t>
            </w:r>
          </w:p>
        </w:tc>
        <w:tc>
          <w:tcPr>
            <w:tcW w:w="6733" w:type="dxa"/>
          </w:tcPr>
          <w:p w:rsidR="00342CF4" w:rsidRDefault="00342CF4" w:rsidP="00342CF4">
            <w:pPr>
              <w:autoSpaceDE/>
              <w:autoSpaceDN/>
              <w:adjustRightInd/>
              <w:rPr>
                <w:rFonts w:cs="Arial"/>
                <w:szCs w:val="24"/>
              </w:rPr>
            </w:pPr>
            <w:r>
              <w:rPr>
                <w:rFonts w:cs="Arial"/>
                <w:szCs w:val="24"/>
              </w:rPr>
              <w:t>[Omitted unchanged language]</w:t>
            </w:r>
          </w:p>
          <w:p w:rsidR="00342CF4" w:rsidRDefault="00342CF4" w:rsidP="00342CF4">
            <w:pPr>
              <w:autoSpaceDE/>
              <w:autoSpaceDN/>
              <w:adjustRightInd/>
              <w:rPr>
                <w:rFonts w:cs="Arial"/>
                <w:szCs w:val="24"/>
              </w:rPr>
            </w:pPr>
          </w:p>
          <w:p w:rsidR="00342CF4" w:rsidRPr="00182122" w:rsidRDefault="00342CF4" w:rsidP="00342CF4">
            <w:pPr>
              <w:autoSpaceDE/>
              <w:autoSpaceDN/>
              <w:adjustRightInd/>
              <w:rPr>
                <w:rFonts w:cs="Arial"/>
                <w:szCs w:val="24"/>
              </w:rPr>
            </w:pPr>
            <w:r w:rsidRPr="00182122">
              <w:rPr>
                <w:rFonts w:cs="Arial"/>
                <w:szCs w:val="24"/>
              </w:rPr>
              <w:t>For services occurring on or after October 1, 2020, payment rules are:</w:t>
            </w:r>
          </w:p>
          <w:p w:rsidR="00342CF4" w:rsidRPr="00182122" w:rsidRDefault="00342CF4" w:rsidP="00342CF4">
            <w:pPr>
              <w:autoSpaceDE/>
              <w:autoSpaceDN/>
              <w:adjustRightInd/>
              <w:rPr>
                <w:rFonts w:cs="Arial"/>
                <w:szCs w:val="24"/>
              </w:rPr>
            </w:pPr>
            <w:r w:rsidRPr="00182122">
              <w:rPr>
                <w:rFonts w:cs="Arial"/>
                <w:szCs w:val="24"/>
              </w:rPr>
              <w:t>• Medicare Claims Processing Manual, Chapter 4, sections 10.2.3, 10.4, 290.5.2, and 290.5.3</w:t>
            </w:r>
          </w:p>
          <w:p w:rsidR="00342CF4" w:rsidRPr="00182122" w:rsidRDefault="00342CF4" w:rsidP="00342CF4">
            <w:pPr>
              <w:autoSpaceDE/>
              <w:autoSpaceDN/>
              <w:adjustRightInd/>
              <w:rPr>
                <w:rFonts w:cs="Arial"/>
                <w:szCs w:val="24"/>
              </w:rPr>
            </w:pPr>
            <w:r w:rsidRPr="00182122">
              <w:rPr>
                <w:rFonts w:cs="Arial"/>
                <w:szCs w:val="24"/>
              </w:rPr>
              <w:t>• CMS 2020 OPPS Addendum D1</w:t>
            </w:r>
          </w:p>
          <w:p w:rsidR="00342CF4" w:rsidRPr="00182122" w:rsidRDefault="00342CF4" w:rsidP="00342CF4">
            <w:pPr>
              <w:autoSpaceDE/>
              <w:autoSpaceDN/>
              <w:adjustRightInd/>
              <w:rPr>
                <w:rFonts w:cs="Arial"/>
                <w:szCs w:val="24"/>
              </w:rPr>
            </w:pPr>
            <w:r w:rsidRPr="00182122">
              <w:rPr>
                <w:rFonts w:cs="Arial"/>
                <w:szCs w:val="24"/>
              </w:rPr>
              <w:t>• CMS 2020 OPPS Addendum J</w:t>
            </w:r>
          </w:p>
          <w:p w:rsidR="00342CF4" w:rsidRPr="00182122" w:rsidRDefault="00342CF4" w:rsidP="00342CF4">
            <w:pPr>
              <w:autoSpaceDE/>
              <w:autoSpaceDN/>
              <w:adjustRightInd/>
              <w:rPr>
                <w:rFonts w:cs="Arial"/>
                <w:szCs w:val="24"/>
              </w:rPr>
            </w:pPr>
            <w:r w:rsidRPr="00182122">
              <w:rPr>
                <w:rFonts w:cs="Arial"/>
                <w:szCs w:val="24"/>
              </w:rPr>
              <w:t xml:space="preserve">• October 2020 IOCE Quarterly Data Files V213.R1 Re-Release (posted 10/05/2020) [ZIP, </w:t>
            </w:r>
            <w:r>
              <w:rPr>
                <w:rFonts w:cs="Arial"/>
                <w:szCs w:val="24"/>
              </w:rPr>
              <w:t>27.5</w:t>
            </w:r>
            <w:r w:rsidRPr="00182122">
              <w:rPr>
                <w:rFonts w:cs="Arial"/>
                <w:szCs w:val="24"/>
              </w:rPr>
              <w:t xml:space="preserve">MB], </w:t>
            </w:r>
            <w:hyperlink r:id="rId15" w:history="1">
              <w:r w:rsidRPr="00182122">
                <w:rPr>
                  <w:rStyle w:val="Hyperlink"/>
                  <w:rFonts w:cs="Arial"/>
                  <w:szCs w:val="24"/>
                </w:rPr>
                <w:t>IntegOCEspecsV21.3 R1_Oct 20.pdf</w:t>
              </w:r>
            </w:hyperlink>
            <w:r w:rsidRPr="00182122">
              <w:rPr>
                <w:rStyle w:val="Hyperlink"/>
                <w:rFonts w:cs="Arial"/>
                <w:szCs w:val="24"/>
              </w:rPr>
              <w:t>,</w:t>
            </w:r>
            <w:r w:rsidRPr="00182122">
              <w:rPr>
                <w:rFonts w:cs="Arial"/>
                <w:szCs w:val="24"/>
              </w:rPr>
              <w:t xml:space="preserve"> </w:t>
            </w:r>
            <w:r w:rsidRPr="00EA0D46">
              <w:rPr>
                <w:rFonts w:cs="Arial"/>
                <w:dstrike/>
                <w:szCs w:val="24"/>
              </w:rPr>
              <w:t xml:space="preserve">sections 5.4.1, 5.4.3, 5.4.5, and 5.5, </w:t>
            </w:r>
            <w:r w:rsidRPr="00EA0D46">
              <w:rPr>
                <w:rFonts w:cs="Arial"/>
                <w:szCs w:val="24"/>
              </w:rPr>
              <w:t>sections 5.6.1, 5.6.1.1, 5.6.2, 5.6.3, 5.6.4, 5.6.4.1, and 5.6.4.2</w:t>
            </w:r>
          </w:p>
          <w:p w:rsidR="00342CF4" w:rsidRPr="0023004E" w:rsidRDefault="00342CF4" w:rsidP="00342CF4">
            <w:pPr>
              <w:autoSpaceDE/>
              <w:autoSpaceDN/>
              <w:adjustRightInd/>
              <w:rPr>
                <w:rFonts w:cs="Arial"/>
                <w:szCs w:val="24"/>
              </w:rPr>
            </w:pPr>
          </w:p>
        </w:tc>
      </w:tr>
    </w:tbl>
    <w:p w:rsidR="0070427F" w:rsidRDefault="0070427F" w:rsidP="004267B5">
      <w:pPr>
        <w:spacing w:before="360"/>
        <w:ind w:left="-720" w:right="-720"/>
        <w:rPr>
          <w:rFonts w:cs="Arial"/>
          <w:szCs w:val="24"/>
        </w:rPr>
      </w:pPr>
    </w:p>
    <w:p w:rsidR="00FF7568" w:rsidRPr="004267B5" w:rsidRDefault="004267B5" w:rsidP="004267B5">
      <w:pPr>
        <w:spacing w:before="360"/>
        <w:ind w:left="-720" w:right="-720"/>
        <w:rPr>
          <w:sz w:val="23"/>
          <w:szCs w:val="23"/>
        </w:rPr>
      </w:pPr>
      <w:r>
        <w:rPr>
          <w:rFonts w:cs="Arial"/>
          <w:szCs w:val="24"/>
        </w:rPr>
        <w:lastRenderedPageBreak/>
        <w:t>The Order dated October 7, 2020 remains in effect for services on or after October 1, 2020, except as modified by this Order. This Order an</w:t>
      </w:r>
      <w:r w:rsidR="00FF7568" w:rsidRPr="00DF7E1C">
        <w:rPr>
          <w:rFonts w:cs="Arial"/>
          <w:szCs w:val="24"/>
        </w:rPr>
        <w:t xml:space="preserve">d the </w:t>
      </w:r>
      <w:r w:rsidR="00FF7568">
        <w:rPr>
          <w:rFonts w:cs="Arial"/>
          <w:szCs w:val="24"/>
        </w:rPr>
        <w:t>update</w:t>
      </w:r>
      <w:r w:rsidR="00FF7568" w:rsidRPr="00DF7E1C">
        <w:rPr>
          <w:rFonts w:cs="Arial"/>
          <w:szCs w:val="24"/>
        </w:rPr>
        <w:t xml:space="preserve">d regulations are effective </w:t>
      </w:r>
      <w:r w:rsidR="0059533C">
        <w:rPr>
          <w:rFonts w:cs="Arial"/>
          <w:szCs w:val="24"/>
        </w:rPr>
        <w:t xml:space="preserve">for services rendered on or </w:t>
      </w:r>
      <w:r w:rsidR="00FF7568" w:rsidRPr="00DF7E1C">
        <w:rPr>
          <w:rFonts w:cs="Arial"/>
          <w:szCs w:val="24"/>
        </w:rPr>
        <w:t xml:space="preserve">after </w:t>
      </w:r>
      <w:r>
        <w:rPr>
          <w:rFonts w:cs="Arial"/>
          <w:szCs w:val="24"/>
        </w:rPr>
        <w:t xml:space="preserve">October </w:t>
      </w:r>
      <w:r w:rsidR="00FF7568">
        <w:rPr>
          <w:rFonts w:cs="Arial"/>
          <w:szCs w:val="24"/>
        </w:rPr>
        <w:t>1, 2020</w:t>
      </w:r>
      <w:r w:rsidR="006A498F">
        <w:rPr>
          <w:rFonts w:cs="Arial"/>
          <w:szCs w:val="24"/>
        </w:rPr>
        <w:t>.</w:t>
      </w:r>
      <w:r w:rsidR="002457A8">
        <w:rPr>
          <w:rFonts w:cs="Arial"/>
          <w:szCs w:val="24"/>
        </w:rPr>
        <w:t xml:space="preserve"> The Order</w:t>
      </w:r>
      <w:r w:rsidR="00FF7568" w:rsidRPr="00DF7E1C">
        <w:rPr>
          <w:rFonts w:cs="Arial"/>
          <w:szCs w:val="24"/>
        </w:rPr>
        <w:t xml:space="preserve"> and </w:t>
      </w:r>
      <w:r w:rsidR="002457A8">
        <w:rPr>
          <w:rFonts w:cs="Arial"/>
          <w:szCs w:val="24"/>
        </w:rPr>
        <w:t xml:space="preserve">regulations </w:t>
      </w:r>
      <w:r w:rsidR="00FF7568" w:rsidRPr="00DF7E1C">
        <w:rPr>
          <w:rFonts w:cs="Arial"/>
          <w:szCs w:val="24"/>
        </w:rPr>
        <w:t xml:space="preserve">shall be published on the website </w:t>
      </w:r>
      <w:r w:rsidR="00FF7568" w:rsidRPr="00D93860">
        <w:rPr>
          <w:rFonts w:cs="Arial"/>
          <w:szCs w:val="24"/>
        </w:rPr>
        <w:t xml:space="preserve">of the Division of Workers’ Compensation on the </w:t>
      </w:r>
      <w:hyperlink r:id="rId16"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00FF7568" w:rsidRPr="00D93860">
        <w:rPr>
          <w:rFonts w:cs="Arial"/>
          <w:szCs w:val="24"/>
        </w:rPr>
        <w:t>webpage.</w:t>
      </w:r>
    </w:p>
    <w:p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rsidR="00FF7568" w:rsidRPr="006158D5" w:rsidRDefault="00FF7568" w:rsidP="004267B5">
      <w:pPr>
        <w:tabs>
          <w:tab w:val="left" w:pos="3600"/>
        </w:tabs>
        <w:ind w:left="-720" w:right="-720"/>
        <w:outlineLvl w:val="0"/>
        <w:rPr>
          <w:rFonts w:cs="Arial"/>
          <w:szCs w:val="24"/>
        </w:rPr>
      </w:pPr>
      <w:r w:rsidRPr="00DF7E1C">
        <w:rPr>
          <w:rFonts w:cs="Arial"/>
          <w:szCs w:val="24"/>
        </w:rPr>
        <w:t xml:space="preserve">Dated:  </w:t>
      </w:r>
      <w:r w:rsidR="008E299D">
        <w:rPr>
          <w:rFonts w:cs="Arial"/>
          <w:szCs w:val="24"/>
        </w:rPr>
        <w:t xml:space="preserve">November </w:t>
      </w:r>
      <w:r w:rsidR="00211954">
        <w:rPr>
          <w:rFonts w:cs="Arial"/>
          <w:szCs w:val="24"/>
        </w:rPr>
        <w:t>5</w:t>
      </w:r>
      <w:bookmarkStart w:id="0" w:name="_GoBack"/>
      <w:bookmarkEnd w:id="0"/>
      <w:r w:rsidR="004267B5">
        <w:rPr>
          <w:rFonts w:cs="Arial"/>
          <w:szCs w:val="24"/>
        </w:rPr>
        <w:t>, 2020</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rsidR="00FF7568" w:rsidRPr="00D045E6" w:rsidRDefault="00FF7568" w:rsidP="00FF7568">
      <w:pPr>
        <w:ind w:left="2880" w:right="-720" w:firstLine="720"/>
        <w:rPr>
          <w:rFonts w:cs="Arial"/>
          <w:szCs w:val="24"/>
        </w:rPr>
      </w:pPr>
      <w:r w:rsidRPr="00D045E6">
        <w:rPr>
          <w:rFonts w:cs="Arial"/>
          <w:szCs w:val="24"/>
        </w:rPr>
        <w:t>GEORGE P. PARISOTTO</w:t>
      </w:r>
    </w:p>
    <w:p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7"/>
      <w:headerReference w:type="default" r:id="rId18"/>
      <w:footerReference w:type="even" r:id="rId19"/>
      <w:footerReference w:type="default" r:id="rId20"/>
      <w:headerReference w:type="first" r:id="rId21"/>
      <w:footerReference w:type="first" r:id="rId22"/>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BB" w:rsidRDefault="00475ABB" w:rsidP="004D2DA6">
      <w:r>
        <w:separator/>
      </w:r>
    </w:p>
  </w:endnote>
  <w:endnote w:type="continuationSeparator" w:id="0">
    <w:p w:rsidR="00475ABB" w:rsidRDefault="00475AB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33" w:rsidRDefault="00F52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33" w:rsidRDefault="00F52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33" w:rsidRDefault="00F5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BB" w:rsidRDefault="00475ABB" w:rsidP="004D2DA6">
      <w:r>
        <w:separator/>
      </w:r>
    </w:p>
  </w:footnote>
  <w:footnote w:type="continuationSeparator" w:id="0">
    <w:p w:rsidR="00475ABB" w:rsidRDefault="00475AB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38" w:rsidRDefault="008B7A38" w:rsidP="00D236E1">
    <w:pPr>
      <w:pStyle w:val="Header"/>
      <w:ind w:left="-720"/>
    </w:pPr>
    <w:r>
      <w:t>Order of the Administrative Director</w:t>
    </w:r>
  </w:p>
  <w:p w:rsidR="008B7A38" w:rsidRDefault="008B7A38" w:rsidP="00D236E1">
    <w:pPr>
      <w:pStyle w:val="Header"/>
      <w:ind w:left="-720"/>
    </w:pPr>
    <w:r>
      <w:t>Hospital Outpatient Departments/Ambulatory Surgical Centers Fee Schedule</w:t>
    </w:r>
  </w:p>
  <w:p w:rsidR="00D75F9D" w:rsidRDefault="004A77F0" w:rsidP="00D236E1">
    <w:pPr>
      <w:pStyle w:val="Header"/>
      <w:ind w:left="-720"/>
    </w:pPr>
    <w:r>
      <w:t>Page 4</w:t>
    </w:r>
  </w:p>
  <w:p w:rsidR="008B7A38" w:rsidRDefault="008B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F9D" w:rsidRDefault="00D75F9D">
    <w:pPr>
      <w:pStyle w:val="Header"/>
    </w:pPr>
    <w:r>
      <w:t>Order of the Administrative Director</w:t>
    </w:r>
  </w:p>
  <w:p w:rsidR="00D75F9D" w:rsidRDefault="00D75F9D">
    <w:pPr>
      <w:pStyle w:val="Header"/>
    </w:pPr>
    <w:r>
      <w:t>Hospital Outpatient Departments/Ambulatory Surgical Centers Fee Schedule</w:t>
    </w:r>
  </w:p>
  <w:p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33" w:rsidRDefault="00F52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066"/>
    <w:multiLevelType w:val="hybridMultilevel"/>
    <w:tmpl w:val="941C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6"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83EA0"/>
    <w:multiLevelType w:val="hybridMultilevel"/>
    <w:tmpl w:val="5F665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3"/>
  </w:num>
  <w:num w:numId="4">
    <w:abstractNumId w:val="11"/>
  </w:num>
  <w:num w:numId="5">
    <w:abstractNumId w:val="7"/>
  </w:num>
  <w:num w:numId="6">
    <w:abstractNumId w:val="12"/>
  </w:num>
  <w:num w:numId="7">
    <w:abstractNumId w:val="10"/>
  </w:num>
  <w:num w:numId="8">
    <w:abstractNumId w:val="5"/>
  </w:num>
  <w:num w:numId="9">
    <w:abstractNumId w:val="4"/>
  </w:num>
  <w:num w:numId="10">
    <w:abstractNumId w:val="1"/>
  </w:num>
  <w:num w:numId="11">
    <w:abstractNumId w:val="6"/>
  </w:num>
  <w:num w:numId="12">
    <w:abstractNumId w:val="14"/>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60B7"/>
    <w:rsid w:val="000F7CAF"/>
    <w:rsid w:val="000F7D4D"/>
    <w:rsid w:val="00102EBE"/>
    <w:rsid w:val="00107288"/>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483A"/>
    <w:rsid w:val="001D5D02"/>
    <w:rsid w:val="001D7AC9"/>
    <w:rsid w:val="001E648E"/>
    <w:rsid w:val="001F0B05"/>
    <w:rsid w:val="00211954"/>
    <w:rsid w:val="00214A04"/>
    <w:rsid w:val="002171A5"/>
    <w:rsid w:val="0021743E"/>
    <w:rsid w:val="00220271"/>
    <w:rsid w:val="00220F96"/>
    <w:rsid w:val="00227496"/>
    <w:rsid w:val="00231573"/>
    <w:rsid w:val="00233486"/>
    <w:rsid w:val="0024058A"/>
    <w:rsid w:val="002457A8"/>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2CF4"/>
    <w:rsid w:val="003440B9"/>
    <w:rsid w:val="00345EF6"/>
    <w:rsid w:val="00346737"/>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267B5"/>
    <w:rsid w:val="00434E36"/>
    <w:rsid w:val="00437C48"/>
    <w:rsid w:val="0044088C"/>
    <w:rsid w:val="004455CF"/>
    <w:rsid w:val="004470DC"/>
    <w:rsid w:val="004477E4"/>
    <w:rsid w:val="00455FBF"/>
    <w:rsid w:val="00456FF1"/>
    <w:rsid w:val="004607DA"/>
    <w:rsid w:val="004640E3"/>
    <w:rsid w:val="00475ABB"/>
    <w:rsid w:val="00477D36"/>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A498F"/>
    <w:rsid w:val="006C1A04"/>
    <w:rsid w:val="006C549A"/>
    <w:rsid w:val="006C73ED"/>
    <w:rsid w:val="006E0600"/>
    <w:rsid w:val="006F5626"/>
    <w:rsid w:val="007023F9"/>
    <w:rsid w:val="00703112"/>
    <w:rsid w:val="0070427F"/>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7F795A"/>
    <w:rsid w:val="00802DC7"/>
    <w:rsid w:val="0080357E"/>
    <w:rsid w:val="00803AE8"/>
    <w:rsid w:val="00804057"/>
    <w:rsid w:val="00824D15"/>
    <w:rsid w:val="008314B5"/>
    <w:rsid w:val="008343F4"/>
    <w:rsid w:val="008424E2"/>
    <w:rsid w:val="008452FB"/>
    <w:rsid w:val="00850EFA"/>
    <w:rsid w:val="008574C5"/>
    <w:rsid w:val="0088257B"/>
    <w:rsid w:val="008948D0"/>
    <w:rsid w:val="008A0060"/>
    <w:rsid w:val="008A24F0"/>
    <w:rsid w:val="008A4DBC"/>
    <w:rsid w:val="008A6673"/>
    <w:rsid w:val="008B1AC2"/>
    <w:rsid w:val="008B33B1"/>
    <w:rsid w:val="008B5EB9"/>
    <w:rsid w:val="008B7A38"/>
    <w:rsid w:val="008C062B"/>
    <w:rsid w:val="008D07D1"/>
    <w:rsid w:val="008D33F8"/>
    <w:rsid w:val="008D4ECA"/>
    <w:rsid w:val="008D6E5E"/>
    <w:rsid w:val="008D7C1F"/>
    <w:rsid w:val="008E299D"/>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41D0"/>
    <w:rsid w:val="009B0343"/>
    <w:rsid w:val="009B1B99"/>
    <w:rsid w:val="009B42B6"/>
    <w:rsid w:val="009B79DE"/>
    <w:rsid w:val="009D69C6"/>
    <w:rsid w:val="009E359E"/>
    <w:rsid w:val="009E7048"/>
    <w:rsid w:val="009F5634"/>
    <w:rsid w:val="009F672A"/>
    <w:rsid w:val="009F7951"/>
    <w:rsid w:val="00A02C7B"/>
    <w:rsid w:val="00A06E94"/>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816"/>
    <w:rsid w:val="00AE4754"/>
    <w:rsid w:val="00AE4CEC"/>
    <w:rsid w:val="00AF1FA5"/>
    <w:rsid w:val="00AF686C"/>
    <w:rsid w:val="00B04B6A"/>
    <w:rsid w:val="00B10805"/>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32AE"/>
    <w:rsid w:val="00D90972"/>
    <w:rsid w:val="00D90A9D"/>
    <w:rsid w:val="00D93860"/>
    <w:rsid w:val="00DA3AF5"/>
    <w:rsid w:val="00DA6001"/>
    <w:rsid w:val="00DC220B"/>
    <w:rsid w:val="00DC2AB1"/>
    <w:rsid w:val="00DC5585"/>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253"/>
    <w:rsid w:val="00E51B40"/>
    <w:rsid w:val="00E63C38"/>
    <w:rsid w:val="00E65011"/>
    <w:rsid w:val="00E75103"/>
    <w:rsid w:val="00E915E9"/>
    <w:rsid w:val="00EA0484"/>
    <w:rsid w:val="00EA794D"/>
    <w:rsid w:val="00EC41A2"/>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033"/>
    <w:rsid w:val="00F52230"/>
    <w:rsid w:val="00F539B9"/>
    <w:rsid w:val="00F543D0"/>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139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medicaremedicare-fee-service-paymenthospitaloutpatientppsaddendum-and-addendum-b-updates/october-202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ms.gov/medicaremedicare-fee-service-paymenthospitaloutpatientppsaddendum-and-addendum-b-updates/october-2020-correc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ir.ca.gov/dwc/OMFS9904.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service-paymenthospitaloutpatientppsaddendum-and-addendum-b-updates/october-2020-correction-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Medicare/Coding/OutpatientCodeEdit/OCEQtrReleaseSpecs" TargetMode="External"/><Relationship Id="rId23" Type="http://schemas.openxmlformats.org/officeDocument/2006/relationships/fontTable" Target="fontTable.xml"/><Relationship Id="rId10" Type="http://schemas.openxmlformats.org/officeDocument/2006/relationships/hyperlink" Target="https://www.cms.gov/medicaremedicare-fee-service-paymenthospitaloutpatientppsaddendum-and-addendum-b-updates/october-2020-correction-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s.gov/medicaremedicare-fee-service-paymenthospitaloutpatientppsaddendum-and-addendum-b-updates/october-2020-correction" TargetMode="External"/><Relationship Id="rId14" Type="http://schemas.openxmlformats.org/officeDocument/2006/relationships/hyperlink" Target="https://www.cms.gov/medicaremedicare-fee-service-paymenthospitaloutpatientppsaddendum-and-addendum-b-updates/october-2020-correction-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44A6-C40B-4EF5-BCEC-F32B206D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2020-11-12T22:47:00Z</dcterms:created>
  <dcterms:modified xsi:type="dcterms:W3CDTF">2020-11-12T22:48:00Z</dcterms:modified>
</cp:coreProperties>
</file>