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7C" w:rsidRPr="0023767C" w:rsidRDefault="0023767C" w:rsidP="0023767C">
      <w:pPr>
        <w:spacing w:before="285" w:after="90" w:line="240" w:lineRule="auto"/>
        <w:jc w:val="center"/>
        <w:outlineLvl w:val="1"/>
        <w:rPr>
          <w:rFonts w:ascii="Trebuchet MS" w:eastAsia="Times New Roman" w:hAnsi="Trebuchet MS" w:cs="Arial"/>
          <w:b/>
          <w:bCs/>
          <w:color w:val="4D5253"/>
          <w:sz w:val="28"/>
          <w:szCs w:val="28"/>
          <w:lang w:val="en"/>
        </w:rPr>
      </w:pPr>
      <w:r w:rsidRPr="0023767C">
        <w:rPr>
          <w:rFonts w:ascii="Trebuchet MS" w:eastAsia="Times New Roman" w:hAnsi="Trebuchet MS" w:cs="Arial"/>
          <w:b/>
          <w:bCs/>
          <w:color w:val="4D5253"/>
          <w:sz w:val="28"/>
          <w:szCs w:val="28"/>
          <w:lang w:val="en"/>
        </w:rPr>
        <w:t xml:space="preserve">TOP TEN </w:t>
      </w:r>
      <w:r w:rsidRPr="0023767C">
        <w:rPr>
          <w:rFonts w:ascii="Trebuchet MS" w:eastAsia="Times New Roman" w:hAnsi="Trebuchet MS" w:cs="Arial"/>
          <w:b/>
          <w:bCs/>
          <w:color w:val="4D5253"/>
          <w:sz w:val="28"/>
          <w:szCs w:val="28"/>
          <w:lang w:val="en"/>
        </w:rPr>
        <w:br/>
      </w:r>
      <w:proofErr w:type="gramStart"/>
      <w:r w:rsidRPr="0023767C">
        <w:rPr>
          <w:rFonts w:ascii="Trebuchet MS" w:eastAsia="Times New Roman" w:hAnsi="Trebuchet MS" w:cs="Arial"/>
          <w:b/>
          <w:bCs/>
          <w:color w:val="4D5253"/>
          <w:sz w:val="28"/>
          <w:szCs w:val="28"/>
          <w:lang w:val="en"/>
        </w:rPr>
        <w:t>The</w:t>
      </w:r>
      <w:proofErr w:type="gramEnd"/>
      <w:r w:rsidRPr="0023767C">
        <w:rPr>
          <w:rFonts w:ascii="Trebuchet MS" w:eastAsia="Times New Roman" w:hAnsi="Trebuchet MS" w:cs="Arial"/>
          <w:b/>
          <w:bCs/>
          <w:color w:val="4D5253"/>
          <w:sz w:val="28"/>
          <w:szCs w:val="28"/>
          <w:lang w:val="en"/>
        </w:rPr>
        <w:t xml:space="preserve"> 10 Most Common Issues Identified During an OSIP Field Audit</w:t>
      </w:r>
    </w:p>
    <w:p w:rsidR="0023767C" w:rsidRPr="0023767C" w:rsidRDefault="0023767C" w:rsidP="0023767C">
      <w:pPr>
        <w:widowControl w:val="0"/>
        <w:numPr>
          <w:ilvl w:val="0"/>
          <w:numId w:val="1"/>
        </w:numPr>
        <w:overflowPunct w:val="0"/>
        <w:autoSpaceDE w:val="0"/>
        <w:autoSpaceDN w:val="0"/>
        <w:adjustRightInd w:val="0"/>
        <w:spacing w:before="100" w:beforeAutospacing="1" w:after="240" w:line="240" w:lineRule="auto"/>
        <w:ind w:left="870"/>
        <w:textAlignment w:val="baseline"/>
        <w:rPr>
          <w:rFonts w:ascii="Arial" w:eastAsia="Times New Roman" w:hAnsi="Arial" w:cs="Arial"/>
          <w:color w:val="333333"/>
          <w:sz w:val="19"/>
          <w:szCs w:val="19"/>
          <w:lang w:val="en"/>
        </w:rPr>
      </w:pPr>
      <w:r w:rsidRPr="0023767C">
        <w:rPr>
          <w:rFonts w:ascii="Arial" w:eastAsia="Times New Roman" w:hAnsi="Arial" w:cs="Arial"/>
          <w:color w:val="333333"/>
          <w:sz w:val="19"/>
          <w:szCs w:val="19"/>
          <w:lang w:val="en"/>
        </w:rPr>
        <w:t>Not identifying all issues on a claim and the associated probable future cost, indemnity and/or medical, over the life of the claim based on the facts of the case. 8CCR§15300</w:t>
      </w:r>
    </w:p>
    <w:p w:rsidR="0023767C" w:rsidRPr="0023767C" w:rsidRDefault="0023767C" w:rsidP="0023767C">
      <w:pPr>
        <w:widowControl w:val="0"/>
        <w:numPr>
          <w:ilvl w:val="0"/>
          <w:numId w:val="1"/>
        </w:numPr>
        <w:overflowPunct w:val="0"/>
        <w:autoSpaceDE w:val="0"/>
        <w:autoSpaceDN w:val="0"/>
        <w:adjustRightInd w:val="0"/>
        <w:spacing w:before="100" w:beforeAutospacing="1" w:after="240" w:line="240" w:lineRule="auto"/>
        <w:ind w:left="870"/>
        <w:textAlignment w:val="baseline"/>
        <w:rPr>
          <w:rFonts w:ascii="Arial" w:eastAsia="Times New Roman" w:hAnsi="Arial" w:cs="Arial"/>
          <w:color w:val="333333"/>
          <w:sz w:val="19"/>
          <w:szCs w:val="19"/>
          <w:lang w:val="en"/>
        </w:rPr>
      </w:pPr>
      <w:r w:rsidRPr="0023767C">
        <w:rPr>
          <w:rFonts w:ascii="Arial" w:eastAsia="Times New Roman" w:hAnsi="Arial" w:cs="Arial"/>
          <w:color w:val="333333"/>
          <w:sz w:val="19"/>
          <w:szCs w:val="19"/>
          <w:lang w:val="en"/>
        </w:rPr>
        <w:t>Failing to annually review medical treatment costs and reserve adequacy when the injured worker has a lifetime medical award. Not adjusting reserves upon receipt of relevant information that affects the valuation of the claim. 8CCR§15300(g)</w:t>
      </w:r>
    </w:p>
    <w:p w:rsidR="0023767C" w:rsidRPr="0023767C" w:rsidRDefault="0023767C" w:rsidP="0023767C">
      <w:pPr>
        <w:widowControl w:val="0"/>
        <w:numPr>
          <w:ilvl w:val="0"/>
          <w:numId w:val="1"/>
        </w:numPr>
        <w:overflowPunct w:val="0"/>
        <w:autoSpaceDE w:val="0"/>
        <w:autoSpaceDN w:val="0"/>
        <w:adjustRightInd w:val="0"/>
        <w:spacing w:before="100" w:beforeAutospacing="1" w:after="240" w:line="240" w:lineRule="auto"/>
        <w:ind w:left="870"/>
        <w:textAlignment w:val="baseline"/>
        <w:rPr>
          <w:rFonts w:ascii="Arial" w:eastAsia="Times New Roman" w:hAnsi="Arial" w:cs="Arial"/>
          <w:color w:val="333333"/>
          <w:sz w:val="19"/>
          <w:szCs w:val="19"/>
          <w:lang w:val="en"/>
        </w:rPr>
      </w:pPr>
      <w:r w:rsidRPr="0023767C">
        <w:rPr>
          <w:rFonts w:ascii="Arial" w:eastAsia="Times New Roman" w:hAnsi="Arial" w:cs="Arial"/>
          <w:color w:val="333333"/>
          <w:sz w:val="19"/>
          <w:szCs w:val="19"/>
          <w:lang w:val="en"/>
        </w:rPr>
        <w:t>For MMI/P&amp;S status claims – Not adjusting reserves to reflect the average annual medical treatment costs based on the past three years (or less if it has been less than three years since the injured worker has reached an MMI/P&amp;S status). 8CCR§15300(b)(4)</w:t>
      </w:r>
    </w:p>
    <w:p w:rsidR="0023767C" w:rsidRPr="0023767C" w:rsidRDefault="0023767C" w:rsidP="0023767C">
      <w:pPr>
        <w:widowControl w:val="0"/>
        <w:numPr>
          <w:ilvl w:val="0"/>
          <w:numId w:val="1"/>
        </w:numPr>
        <w:overflowPunct w:val="0"/>
        <w:autoSpaceDE w:val="0"/>
        <w:autoSpaceDN w:val="0"/>
        <w:adjustRightInd w:val="0"/>
        <w:spacing w:before="100" w:beforeAutospacing="1" w:after="240" w:line="240" w:lineRule="auto"/>
        <w:ind w:left="870"/>
        <w:textAlignment w:val="baseline"/>
        <w:rPr>
          <w:rFonts w:ascii="Arial" w:eastAsia="Times New Roman" w:hAnsi="Arial" w:cs="Arial"/>
          <w:color w:val="333333"/>
          <w:sz w:val="19"/>
          <w:szCs w:val="19"/>
          <w:lang w:val="en"/>
        </w:rPr>
      </w:pPr>
      <w:r w:rsidRPr="0023767C">
        <w:rPr>
          <w:rFonts w:ascii="Arial" w:eastAsia="Times New Roman" w:hAnsi="Arial" w:cs="Arial"/>
          <w:color w:val="333333"/>
          <w:sz w:val="19"/>
          <w:szCs w:val="19"/>
          <w:lang w:val="en"/>
        </w:rPr>
        <w:t>For non MMI/P&amp;S claims – Not reserving for the life of the claim. 8CCR§15300(b)(3)</w:t>
      </w:r>
    </w:p>
    <w:p w:rsidR="0023767C" w:rsidRPr="0023767C" w:rsidRDefault="0023767C" w:rsidP="0023767C">
      <w:pPr>
        <w:widowControl w:val="0"/>
        <w:numPr>
          <w:ilvl w:val="0"/>
          <w:numId w:val="1"/>
        </w:numPr>
        <w:overflowPunct w:val="0"/>
        <w:autoSpaceDE w:val="0"/>
        <w:autoSpaceDN w:val="0"/>
        <w:adjustRightInd w:val="0"/>
        <w:spacing w:before="100" w:beforeAutospacing="1" w:after="240" w:line="240" w:lineRule="auto"/>
        <w:ind w:left="870"/>
        <w:textAlignment w:val="baseline"/>
        <w:rPr>
          <w:rFonts w:ascii="Arial" w:eastAsia="Times New Roman" w:hAnsi="Arial" w:cs="Arial"/>
          <w:color w:val="333333"/>
          <w:sz w:val="19"/>
          <w:szCs w:val="19"/>
          <w:lang w:val="en"/>
        </w:rPr>
      </w:pPr>
      <w:r w:rsidRPr="0023767C">
        <w:rPr>
          <w:rFonts w:ascii="Arial" w:eastAsia="Times New Roman" w:hAnsi="Arial" w:cs="Arial"/>
          <w:color w:val="333333"/>
          <w:sz w:val="19"/>
          <w:szCs w:val="19"/>
          <w:lang w:val="en"/>
        </w:rPr>
        <w:t>Using the wrong life expectancy table when calculating estimates of future liability. 8CCR§15300(b)(7), 8CCR§15300(b)(9)</w:t>
      </w:r>
    </w:p>
    <w:p w:rsidR="0023767C" w:rsidRPr="0023767C" w:rsidRDefault="0023767C" w:rsidP="0023767C">
      <w:pPr>
        <w:widowControl w:val="0"/>
        <w:numPr>
          <w:ilvl w:val="0"/>
          <w:numId w:val="1"/>
        </w:numPr>
        <w:overflowPunct w:val="0"/>
        <w:autoSpaceDE w:val="0"/>
        <w:autoSpaceDN w:val="0"/>
        <w:adjustRightInd w:val="0"/>
        <w:spacing w:before="100" w:beforeAutospacing="1" w:after="240" w:line="240" w:lineRule="auto"/>
        <w:ind w:left="870"/>
        <w:textAlignment w:val="baseline"/>
        <w:rPr>
          <w:rFonts w:ascii="Arial" w:eastAsia="Times New Roman" w:hAnsi="Arial" w:cs="Arial"/>
          <w:color w:val="333333"/>
          <w:sz w:val="19"/>
          <w:szCs w:val="19"/>
          <w:lang w:val="en"/>
        </w:rPr>
      </w:pPr>
      <w:r w:rsidRPr="0023767C">
        <w:rPr>
          <w:rFonts w:ascii="Arial" w:eastAsia="Times New Roman" w:hAnsi="Arial" w:cs="Arial"/>
          <w:color w:val="333333"/>
          <w:sz w:val="19"/>
          <w:szCs w:val="19"/>
          <w:lang w:val="en"/>
        </w:rPr>
        <w:t>Failing to reserve for the higher permanent disability rating unless there is sufficient factual evidence to support a lower rating. 8CCR§15300(b)(2) and lowering permanent disability due to apportionment without basis or facts to support it, 8CCR§15300(b)(8)</w:t>
      </w:r>
    </w:p>
    <w:p w:rsidR="0023767C" w:rsidRPr="0023767C" w:rsidRDefault="0023767C" w:rsidP="0023767C">
      <w:pPr>
        <w:widowControl w:val="0"/>
        <w:numPr>
          <w:ilvl w:val="0"/>
          <w:numId w:val="1"/>
        </w:numPr>
        <w:overflowPunct w:val="0"/>
        <w:autoSpaceDE w:val="0"/>
        <w:autoSpaceDN w:val="0"/>
        <w:adjustRightInd w:val="0"/>
        <w:spacing w:before="100" w:beforeAutospacing="1" w:after="240" w:line="240" w:lineRule="auto"/>
        <w:ind w:left="870"/>
        <w:textAlignment w:val="baseline"/>
        <w:rPr>
          <w:rFonts w:ascii="Arial" w:eastAsia="Times New Roman" w:hAnsi="Arial" w:cs="Arial"/>
          <w:color w:val="333333"/>
          <w:sz w:val="19"/>
          <w:szCs w:val="19"/>
          <w:lang w:val="en"/>
        </w:rPr>
      </w:pPr>
      <w:r w:rsidRPr="0023767C">
        <w:rPr>
          <w:rFonts w:ascii="Arial" w:eastAsia="Times New Roman" w:hAnsi="Arial" w:cs="Arial"/>
          <w:color w:val="333333"/>
          <w:sz w:val="19"/>
          <w:szCs w:val="19"/>
          <w:lang w:val="en"/>
        </w:rPr>
        <w:t>Inaccurately reporting excess insurance information.</w:t>
      </w:r>
    </w:p>
    <w:p w:rsidR="0023767C" w:rsidRPr="0023767C" w:rsidRDefault="0023767C" w:rsidP="0023767C">
      <w:pPr>
        <w:widowControl w:val="0"/>
        <w:numPr>
          <w:ilvl w:val="0"/>
          <w:numId w:val="1"/>
        </w:numPr>
        <w:overflowPunct w:val="0"/>
        <w:autoSpaceDE w:val="0"/>
        <w:autoSpaceDN w:val="0"/>
        <w:adjustRightInd w:val="0"/>
        <w:spacing w:before="100" w:beforeAutospacing="1" w:after="240" w:line="240" w:lineRule="auto"/>
        <w:ind w:left="870"/>
        <w:textAlignment w:val="baseline"/>
        <w:rPr>
          <w:rFonts w:ascii="Arial" w:eastAsia="Times New Roman" w:hAnsi="Arial" w:cs="Arial"/>
          <w:color w:val="333333"/>
          <w:sz w:val="19"/>
          <w:szCs w:val="19"/>
          <w:lang w:val="en"/>
        </w:rPr>
      </w:pPr>
      <w:r w:rsidRPr="0023767C">
        <w:rPr>
          <w:rFonts w:ascii="Arial" w:eastAsia="Times New Roman" w:hAnsi="Arial" w:cs="Arial"/>
          <w:color w:val="333333"/>
          <w:sz w:val="19"/>
          <w:szCs w:val="19"/>
          <w:lang w:val="en"/>
        </w:rPr>
        <w:t>Allowing the self-insured employer to control estimates of future liability. 8CCR§15452</w:t>
      </w:r>
    </w:p>
    <w:p w:rsidR="0023767C" w:rsidRPr="0023767C" w:rsidRDefault="0023767C" w:rsidP="0023767C">
      <w:pPr>
        <w:widowControl w:val="0"/>
        <w:numPr>
          <w:ilvl w:val="0"/>
          <w:numId w:val="1"/>
        </w:numPr>
        <w:overflowPunct w:val="0"/>
        <w:autoSpaceDE w:val="0"/>
        <w:autoSpaceDN w:val="0"/>
        <w:adjustRightInd w:val="0"/>
        <w:spacing w:before="100" w:beforeAutospacing="1" w:after="240" w:line="240" w:lineRule="auto"/>
        <w:ind w:left="870"/>
        <w:textAlignment w:val="baseline"/>
        <w:rPr>
          <w:rFonts w:ascii="Arial" w:eastAsia="Times New Roman" w:hAnsi="Arial" w:cs="Arial"/>
          <w:color w:val="333333"/>
          <w:sz w:val="19"/>
          <w:szCs w:val="19"/>
          <w:lang w:val="en"/>
        </w:rPr>
      </w:pPr>
      <w:r w:rsidRPr="0023767C">
        <w:rPr>
          <w:rFonts w:ascii="Arial" w:eastAsia="Times New Roman" w:hAnsi="Arial" w:cs="Arial"/>
          <w:color w:val="333333"/>
          <w:sz w:val="19"/>
          <w:szCs w:val="19"/>
          <w:lang w:val="en"/>
        </w:rPr>
        <w:t>Failing to determine the outstanding lien and unresolved unpaid medical provider balances and the expected cost of resolution based on the facts of the case. 8CCR§15300(b)(1)</w:t>
      </w:r>
    </w:p>
    <w:p w:rsidR="0023767C" w:rsidRPr="003A35D6" w:rsidRDefault="0023767C" w:rsidP="003A35D6">
      <w:pPr>
        <w:widowControl w:val="0"/>
        <w:numPr>
          <w:ilvl w:val="0"/>
          <w:numId w:val="1"/>
        </w:numPr>
        <w:overflowPunct w:val="0"/>
        <w:autoSpaceDE w:val="0"/>
        <w:autoSpaceDN w:val="0"/>
        <w:adjustRightInd w:val="0"/>
        <w:spacing w:before="100" w:beforeAutospacing="1" w:after="105" w:line="240" w:lineRule="auto"/>
        <w:ind w:left="870"/>
        <w:textAlignment w:val="baseline"/>
        <w:rPr>
          <w:rFonts w:ascii="Arial" w:eastAsia="Times New Roman" w:hAnsi="Arial" w:cs="Arial"/>
          <w:color w:val="333333"/>
          <w:sz w:val="19"/>
          <w:szCs w:val="19"/>
          <w:lang w:val="en"/>
        </w:rPr>
      </w:pPr>
      <w:r w:rsidRPr="0023767C">
        <w:rPr>
          <w:rFonts w:ascii="Arial" w:eastAsia="Times New Roman" w:hAnsi="Arial" w:cs="Arial"/>
          <w:color w:val="333333"/>
          <w:sz w:val="19"/>
          <w:szCs w:val="19"/>
          <w:lang w:val="en"/>
        </w:rPr>
        <w:t>Prematurely closing claims with lifetime future medical benefits due. 8CCR§15400.2(a)</w:t>
      </w:r>
      <w:bookmarkStart w:id="0" w:name="_GoBack"/>
      <w:bookmarkEnd w:id="0"/>
    </w:p>
    <w:p w:rsidR="0023767C" w:rsidRPr="0023767C" w:rsidRDefault="0023767C" w:rsidP="0023767C">
      <w:pPr>
        <w:tabs>
          <w:tab w:val="left" w:pos="720"/>
        </w:tabs>
        <w:overflowPunct w:val="0"/>
        <w:autoSpaceDE w:val="0"/>
        <w:autoSpaceDN w:val="0"/>
        <w:adjustRightInd w:val="0"/>
        <w:spacing w:after="0" w:line="240" w:lineRule="auto"/>
        <w:ind w:right="1152"/>
        <w:textAlignment w:val="baseline"/>
        <w:rPr>
          <w:rFonts w:ascii="New York" w:eastAsia="Times New Roman" w:hAnsi="New York"/>
          <w:sz w:val="24"/>
          <w:szCs w:val="20"/>
        </w:rPr>
      </w:pPr>
    </w:p>
    <w:p w:rsidR="005361C9" w:rsidRDefault="005361C9"/>
    <w:sectPr w:rsidR="00536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B5E0C"/>
    <w:multiLevelType w:val="multilevel"/>
    <w:tmpl w:val="8C1A4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7C"/>
    <w:rsid w:val="000007F2"/>
    <w:rsid w:val="00037229"/>
    <w:rsid w:val="00061193"/>
    <w:rsid w:val="000A4C5A"/>
    <w:rsid w:val="000B5A62"/>
    <w:rsid w:val="0010300B"/>
    <w:rsid w:val="00130631"/>
    <w:rsid w:val="0014128D"/>
    <w:rsid w:val="001B59B9"/>
    <w:rsid w:val="001E44C7"/>
    <w:rsid w:val="0021591F"/>
    <w:rsid w:val="00221ACE"/>
    <w:rsid w:val="0023767C"/>
    <w:rsid w:val="002D62A5"/>
    <w:rsid w:val="002E3F84"/>
    <w:rsid w:val="002F7ABD"/>
    <w:rsid w:val="00314E23"/>
    <w:rsid w:val="00324672"/>
    <w:rsid w:val="00392670"/>
    <w:rsid w:val="003A35D6"/>
    <w:rsid w:val="003D0A68"/>
    <w:rsid w:val="004026C4"/>
    <w:rsid w:val="004304E3"/>
    <w:rsid w:val="004A02F8"/>
    <w:rsid w:val="005361C9"/>
    <w:rsid w:val="00536DCF"/>
    <w:rsid w:val="005D204B"/>
    <w:rsid w:val="005E2F77"/>
    <w:rsid w:val="006A4D31"/>
    <w:rsid w:val="00761345"/>
    <w:rsid w:val="007B5D2A"/>
    <w:rsid w:val="007C5952"/>
    <w:rsid w:val="00830EE5"/>
    <w:rsid w:val="00846B5B"/>
    <w:rsid w:val="00865372"/>
    <w:rsid w:val="00904BFF"/>
    <w:rsid w:val="00956034"/>
    <w:rsid w:val="00971293"/>
    <w:rsid w:val="009870C2"/>
    <w:rsid w:val="00992EEB"/>
    <w:rsid w:val="009960B7"/>
    <w:rsid w:val="00A07C70"/>
    <w:rsid w:val="00A44FC2"/>
    <w:rsid w:val="00AA73D6"/>
    <w:rsid w:val="00AD16F9"/>
    <w:rsid w:val="00B30FBC"/>
    <w:rsid w:val="00BB68E8"/>
    <w:rsid w:val="00C164FD"/>
    <w:rsid w:val="00C60D98"/>
    <w:rsid w:val="00C61DB9"/>
    <w:rsid w:val="00C85B13"/>
    <w:rsid w:val="00CB0EBC"/>
    <w:rsid w:val="00CC0434"/>
    <w:rsid w:val="00CC6B6F"/>
    <w:rsid w:val="00CC7230"/>
    <w:rsid w:val="00CC7851"/>
    <w:rsid w:val="00CD15C8"/>
    <w:rsid w:val="00CF72B6"/>
    <w:rsid w:val="00D12499"/>
    <w:rsid w:val="00D13D82"/>
    <w:rsid w:val="00D70A21"/>
    <w:rsid w:val="00D72F78"/>
    <w:rsid w:val="00D872B2"/>
    <w:rsid w:val="00D94F53"/>
    <w:rsid w:val="00DA4823"/>
    <w:rsid w:val="00DB5CA4"/>
    <w:rsid w:val="00DD1CAF"/>
    <w:rsid w:val="00EF18A7"/>
    <w:rsid w:val="00F129DE"/>
    <w:rsid w:val="00F65FBD"/>
    <w:rsid w:val="00F71331"/>
    <w:rsid w:val="00FB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12E"/>
  <w15:chartTrackingRefBased/>
  <w15:docId w15:val="{CB80459D-9ED6-4CBD-8CEE-09575ADA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cp:lastModifiedBy>Takimoto, Jordan@DIR</cp:lastModifiedBy>
  <cp:revision>3</cp:revision>
  <dcterms:created xsi:type="dcterms:W3CDTF">2019-09-27T20:48:00Z</dcterms:created>
  <dcterms:modified xsi:type="dcterms:W3CDTF">2019-09-27T20:48:00Z</dcterms:modified>
</cp:coreProperties>
</file>