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441A" w14:textId="77777777" w:rsidR="0095675B" w:rsidRPr="00F04D41" w:rsidRDefault="0095675B">
      <w:pPr>
        <w:pStyle w:val="Title"/>
        <w:rPr>
          <w:rFonts w:ascii="Arial" w:hAnsi="Arial" w:cs="Arial"/>
          <w:b/>
        </w:rPr>
      </w:pPr>
      <w:r w:rsidRPr="00F04D41">
        <w:rPr>
          <w:rFonts w:ascii="Arial" w:hAnsi="Arial" w:cs="Arial"/>
          <w:b/>
        </w:rPr>
        <w:t xml:space="preserve">STATE OF </w:t>
      </w:r>
      <w:smartTag w:uri="urn:schemas-microsoft-com:office:smarttags" w:element="place">
        <w:smartTag w:uri="urn:schemas-microsoft-com:office:smarttags" w:element="State">
          <w:r w:rsidRPr="00F04D41">
            <w:rPr>
              <w:rFonts w:ascii="Arial" w:hAnsi="Arial" w:cs="Arial"/>
              <w:b/>
            </w:rPr>
            <w:t>CALIFORNIA</w:t>
          </w:r>
        </w:smartTag>
      </w:smartTag>
    </w:p>
    <w:p w14:paraId="3523772E" w14:textId="77777777" w:rsidR="00163CC9" w:rsidRPr="00F04D41" w:rsidRDefault="0095675B" w:rsidP="00163CC9">
      <w:pPr>
        <w:jc w:val="center"/>
        <w:rPr>
          <w:rFonts w:ascii="Arial" w:hAnsi="Arial" w:cs="Arial"/>
          <w:b/>
          <w:sz w:val="28"/>
        </w:rPr>
      </w:pPr>
      <w:r w:rsidRPr="00F04D41">
        <w:rPr>
          <w:rFonts w:ascii="Arial" w:hAnsi="Arial" w:cs="Arial"/>
          <w:b/>
          <w:sz w:val="28"/>
        </w:rPr>
        <w:t>DEPARTMENT OF INDUSTRIAL RELATIONS</w:t>
      </w:r>
    </w:p>
    <w:p w14:paraId="2CA00278" w14:textId="77777777" w:rsidR="00163CC9" w:rsidRPr="00A15FAC" w:rsidRDefault="0095675B" w:rsidP="004939A5">
      <w:pPr>
        <w:spacing w:after="360"/>
        <w:jc w:val="center"/>
        <w:rPr>
          <w:rFonts w:ascii="Arial" w:hAnsi="Arial" w:cs="Arial"/>
          <w:b/>
          <w:sz w:val="24"/>
          <w:szCs w:val="24"/>
        </w:rPr>
      </w:pPr>
      <w:r w:rsidRPr="00A15FAC">
        <w:rPr>
          <w:rFonts w:ascii="Arial" w:hAnsi="Arial" w:cs="Arial"/>
          <w:b/>
          <w:sz w:val="24"/>
          <w:szCs w:val="24"/>
        </w:rPr>
        <w:t>DIVISION OF WORKERS’ COMPENSATION</w:t>
      </w:r>
    </w:p>
    <w:p w14:paraId="118B7882" w14:textId="6B1F4E4A" w:rsidR="0095675B" w:rsidRPr="00F04D41" w:rsidRDefault="00F415F2" w:rsidP="004939A5">
      <w:pPr>
        <w:spacing w:after="240"/>
        <w:jc w:val="center"/>
        <w:rPr>
          <w:rFonts w:ascii="Arial" w:hAnsi="Arial" w:cs="Arial"/>
          <w:b/>
          <w:sz w:val="28"/>
        </w:rPr>
      </w:pPr>
      <w:r>
        <w:rPr>
          <w:rFonts w:ascii="Arial" w:hAnsi="Arial" w:cs="Arial"/>
          <w:b/>
          <w:sz w:val="28"/>
        </w:rPr>
        <w:t>FIN</w:t>
      </w:r>
      <w:r w:rsidR="0095675B" w:rsidRPr="00F04D41">
        <w:rPr>
          <w:rFonts w:ascii="Arial" w:hAnsi="Arial" w:cs="Arial"/>
          <w:b/>
          <w:sz w:val="28"/>
        </w:rPr>
        <w:t>AL STATEMENT OF REASONS</w:t>
      </w:r>
    </w:p>
    <w:p w14:paraId="2E9ACE92" w14:textId="77777777" w:rsidR="0095675B" w:rsidRPr="00F04D41" w:rsidRDefault="0095675B" w:rsidP="004939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cs="Arial"/>
          <w:b/>
          <w:sz w:val="24"/>
        </w:rPr>
      </w:pPr>
      <w:r w:rsidRPr="00F04D41">
        <w:rPr>
          <w:rFonts w:ascii="Arial" w:hAnsi="Arial" w:cs="Arial"/>
          <w:b/>
          <w:sz w:val="24"/>
        </w:rPr>
        <w:t>S</w:t>
      </w:r>
      <w:r w:rsidR="00BE713E" w:rsidRPr="00F04D41">
        <w:rPr>
          <w:rFonts w:ascii="Arial" w:hAnsi="Arial" w:cs="Arial"/>
          <w:b/>
          <w:sz w:val="24"/>
        </w:rPr>
        <w:t xml:space="preserve">ubject Matter of Regulations:  </w:t>
      </w:r>
      <w:r w:rsidR="00104260" w:rsidRPr="00F04D41">
        <w:rPr>
          <w:rFonts w:ascii="Arial" w:hAnsi="Arial" w:cs="Arial"/>
          <w:b/>
          <w:sz w:val="24"/>
        </w:rPr>
        <w:t>Workers’ Compensation – Official Medical Fee Schedule: Physician and Non-Physician Practitioner Fee Schedule and Pharmaceutical Fee Schedule</w:t>
      </w:r>
    </w:p>
    <w:p w14:paraId="03F38B7D" w14:textId="77777777" w:rsidR="0095675B" w:rsidRPr="00F04D41" w:rsidRDefault="0095675B">
      <w:pPr>
        <w:jc w:val="center"/>
        <w:rPr>
          <w:rFonts w:ascii="Arial" w:hAnsi="Arial" w:cs="Arial"/>
          <w:b/>
          <w:sz w:val="24"/>
          <w:u w:val="single"/>
        </w:rPr>
      </w:pPr>
      <w:r w:rsidRPr="00F04D41">
        <w:rPr>
          <w:rFonts w:ascii="Arial" w:hAnsi="Arial" w:cs="Arial"/>
          <w:b/>
          <w:sz w:val="24"/>
          <w:u w:val="single"/>
        </w:rPr>
        <w:t xml:space="preserve">TITLE 8, CALIFORNIA CODE OF REGULATIONS </w:t>
      </w:r>
    </w:p>
    <w:p w14:paraId="313AE2B9" w14:textId="77777777" w:rsidR="0095675B" w:rsidRPr="00F04D41" w:rsidRDefault="003138AA" w:rsidP="004939A5">
      <w:pPr>
        <w:spacing w:after="240"/>
        <w:jc w:val="center"/>
        <w:rPr>
          <w:rFonts w:ascii="Arial" w:hAnsi="Arial" w:cs="Arial"/>
          <w:b/>
          <w:sz w:val="24"/>
          <w:u w:val="single"/>
        </w:rPr>
      </w:pPr>
      <w:r w:rsidRPr="00F04D41">
        <w:rPr>
          <w:rFonts w:ascii="Arial" w:hAnsi="Arial" w:cs="Arial"/>
          <w:b/>
          <w:sz w:val="24"/>
          <w:u w:val="single"/>
        </w:rPr>
        <w:t>SECTION</w:t>
      </w:r>
      <w:r w:rsidR="00163CC9" w:rsidRPr="00F04D41">
        <w:rPr>
          <w:rFonts w:ascii="Arial" w:hAnsi="Arial" w:cs="Arial"/>
          <w:b/>
          <w:sz w:val="24"/>
          <w:u w:val="single"/>
        </w:rPr>
        <w:t>S</w:t>
      </w:r>
      <w:r w:rsidRPr="00F04D41">
        <w:rPr>
          <w:rFonts w:ascii="Arial" w:hAnsi="Arial" w:cs="Arial"/>
          <w:b/>
          <w:sz w:val="24"/>
          <w:u w:val="single"/>
        </w:rPr>
        <w:t xml:space="preserve"> </w:t>
      </w:r>
      <w:r w:rsidR="00974515" w:rsidRPr="00F04D41">
        <w:rPr>
          <w:rFonts w:ascii="Arial" w:hAnsi="Arial" w:cs="Arial"/>
          <w:b/>
          <w:sz w:val="24"/>
          <w:u w:val="single"/>
        </w:rPr>
        <w:t xml:space="preserve">9789.12.1 </w:t>
      </w:r>
      <w:r w:rsidR="001F4C82" w:rsidRPr="00F04D41">
        <w:rPr>
          <w:rFonts w:ascii="Arial" w:hAnsi="Arial" w:cs="Arial"/>
          <w:b/>
          <w:sz w:val="24"/>
          <w:u w:val="single"/>
        </w:rPr>
        <w:t>et seq.</w:t>
      </w:r>
    </w:p>
    <w:p w14:paraId="20DB8AD3" w14:textId="77777777" w:rsidR="0090371C" w:rsidRPr="00F04D41" w:rsidRDefault="0090371C" w:rsidP="00D916B2">
      <w:pPr>
        <w:pStyle w:val="Heading1"/>
      </w:pPr>
      <w:r w:rsidRPr="00F04D41">
        <w:t>AN IMPORTANT PROCEDURAL NOTE ABOUT THIS RULEMAKING:</w:t>
      </w:r>
    </w:p>
    <w:p w14:paraId="2169800B" w14:textId="77777777" w:rsidR="0090371C" w:rsidRPr="00F04D41" w:rsidRDefault="0090371C" w:rsidP="00957C06">
      <w:pPr>
        <w:spacing w:after="240"/>
        <w:jc w:val="left"/>
        <w:rPr>
          <w:rFonts w:ascii="Arial" w:hAnsi="Arial" w:cs="Arial"/>
          <w:sz w:val="24"/>
          <w:szCs w:val="24"/>
        </w:rPr>
      </w:pPr>
      <w:r w:rsidRPr="00F04D41">
        <w:rPr>
          <w:rFonts w:ascii="Arial" w:hAnsi="Arial" w:cs="Arial"/>
          <w:sz w:val="24"/>
          <w:szCs w:val="24"/>
        </w:rPr>
        <w:t xml:space="preserve">The </w:t>
      </w:r>
      <w:r w:rsidR="00133786" w:rsidRPr="00F04D41">
        <w:rPr>
          <w:rFonts w:ascii="Arial" w:hAnsi="Arial" w:cs="Arial"/>
          <w:sz w:val="24"/>
          <w:szCs w:val="24"/>
        </w:rPr>
        <w:t>Physician</w:t>
      </w:r>
      <w:r w:rsidR="007A6FDB" w:rsidRPr="00F04D41">
        <w:rPr>
          <w:rFonts w:ascii="Arial" w:hAnsi="Arial" w:cs="Arial"/>
          <w:sz w:val="24"/>
          <w:szCs w:val="24"/>
        </w:rPr>
        <w:t xml:space="preserve"> and Non-Physician Practitioner</w:t>
      </w:r>
      <w:r w:rsidR="00133786" w:rsidRPr="00F04D41">
        <w:rPr>
          <w:rFonts w:ascii="Arial" w:hAnsi="Arial" w:cs="Arial"/>
          <w:sz w:val="24"/>
          <w:szCs w:val="24"/>
        </w:rPr>
        <w:t xml:space="preserve"> </w:t>
      </w:r>
      <w:r w:rsidRPr="00F04D41">
        <w:rPr>
          <w:rFonts w:ascii="Arial" w:hAnsi="Arial" w:cs="Arial"/>
          <w:sz w:val="24"/>
          <w:szCs w:val="24"/>
        </w:rPr>
        <w:t>Fee Schedule</w:t>
      </w:r>
      <w:r w:rsidR="00C73AFD" w:rsidRPr="00F04D41">
        <w:rPr>
          <w:rFonts w:ascii="Arial" w:hAnsi="Arial" w:cs="Arial"/>
          <w:sz w:val="24"/>
          <w:szCs w:val="24"/>
        </w:rPr>
        <w:t xml:space="preserve"> and Pharmaceutical Fee Schedule</w:t>
      </w:r>
      <w:r w:rsidRPr="00F04D41">
        <w:rPr>
          <w:rFonts w:ascii="Arial" w:hAnsi="Arial" w:cs="Arial"/>
          <w:sz w:val="24"/>
          <w:szCs w:val="24"/>
        </w:rPr>
        <w:t xml:space="preserve"> </w:t>
      </w:r>
      <w:r w:rsidR="00C73AFD" w:rsidRPr="00F04D41">
        <w:rPr>
          <w:rFonts w:ascii="Arial" w:hAnsi="Arial" w:cs="Arial"/>
          <w:sz w:val="24"/>
          <w:szCs w:val="24"/>
        </w:rPr>
        <w:t>regulations within</w:t>
      </w:r>
      <w:r w:rsidRPr="00F04D41">
        <w:rPr>
          <w:rFonts w:ascii="Arial" w:hAnsi="Arial" w:cs="Arial"/>
          <w:sz w:val="24"/>
          <w:szCs w:val="24"/>
        </w:rPr>
        <w:t xml:space="preserve"> the Official Med</w:t>
      </w:r>
      <w:r w:rsidR="00C73AFD" w:rsidRPr="00F04D41">
        <w:rPr>
          <w:rFonts w:ascii="Arial" w:hAnsi="Arial" w:cs="Arial"/>
          <w:sz w:val="24"/>
          <w:szCs w:val="24"/>
        </w:rPr>
        <w:t>ical Fee Schedule "establish or fix</w:t>
      </w:r>
      <w:r w:rsidRPr="00F04D41">
        <w:rPr>
          <w:rFonts w:ascii="Arial" w:hAnsi="Arial" w:cs="Arial"/>
          <w:sz w:val="24"/>
          <w:szCs w:val="24"/>
        </w:rPr>
        <w:t xml:space="preserve"> rates, prices, or tariffs" within the meaning of Government Code </w:t>
      </w:r>
      <w:r w:rsidR="00D37DDC" w:rsidRPr="00F04D41">
        <w:rPr>
          <w:rFonts w:ascii="Arial" w:hAnsi="Arial" w:cs="Arial"/>
          <w:sz w:val="24"/>
          <w:szCs w:val="24"/>
        </w:rPr>
        <w:t>s</w:t>
      </w:r>
      <w:r w:rsidRPr="00F04D41">
        <w:rPr>
          <w:rFonts w:ascii="Arial" w:hAnsi="Arial" w:cs="Arial"/>
          <w:sz w:val="24"/>
          <w:szCs w:val="24"/>
        </w:rPr>
        <w:t>ection 11340.9</w:t>
      </w:r>
      <w:r w:rsidR="00C73AFD" w:rsidRPr="00F04D41">
        <w:rPr>
          <w:rFonts w:ascii="Arial" w:hAnsi="Arial" w:cs="Arial"/>
          <w:sz w:val="24"/>
          <w:szCs w:val="24"/>
        </w:rPr>
        <w:t xml:space="preserve">, subdivision </w:t>
      </w:r>
      <w:r w:rsidRPr="00F04D41">
        <w:rPr>
          <w:rFonts w:ascii="Arial" w:hAnsi="Arial" w:cs="Arial"/>
          <w:sz w:val="24"/>
          <w:szCs w:val="24"/>
        </w:rPr>
        <w:t>(g)</w:t>
      </w:r>
      <w:r w:rsidR="00C73AFD" w:rsidRPr="00F04D41">
        <w:rPr>
          <w:rFonts w:ascii="Arial" w:hAnsi="Arial" w:cs="Arial"/>
          <w:sz w:val="24"/>
          <w:szCs w:val="24"/>
        </w:rPr>
        <w:t>,</w:t>
      </w:r>
      <w:r w:rsidRPr="00F04D41">
        <w:rPr>
          <w:rFonts w:ascii="Arial" w:hAnsi="Arial" w:cs="Arial"/>
          <w:sz w:val="24"/>
          <w:szCs w:val="24"/>
        </w:rPr>
        <w:t xml:space="preserve"> and </w:t>
      </w:r>
      <w:r w:rsidR="00C73AFD" w:rsidRPr="00F04D41">
        <w:rPr>
          <w:rFonts w:ascii="Arial" w:hAnsi="Arial" w:cs="Arial"/>
          <w:sz w:val="24"/>
          <w:szCs w:val="24"/>
        </w:rPr>
        <w:t>are</w:t>
      </w:r>
      <w:r w:rsidRPr="00F04D41">
        <w:rPr>
          <w:rFonts w:ascii="Arial" w:hAnsi="Arial" w:cs="Arial"/>
          <w:sz w:val="24"/>
          <w:szCs w:val="24"/>
        </w:rPr>
        <w:t xml:space="preserve"> therefore not subject to Chapter 3.5 of the Administrative Procedure Act</w:t>
      </w:r>
      <w:r w:rsidR="007A6FDB" w:rsidRPr="00F04D41">
        <w:rPr>
          <w:rFonts w:ascii="Arial" w:hAnsi="Arial" w:cs="Arial"/>
          <w:sz w:val="24"/>
          <w:szCs w:val="24"/>
        </w:rPr>
        <w:t xml:space="preserve"> (APA)</w:t>
      </w:r>
      <w:r w:rsidRPr="00F04D41">
        <w:rPr>
          <w:rFonts w:ascii="Arial" w:hAnsi="Arial" w:cs="Arial"/>
          <w:sz w:val="24"/>
          <w:szCs w:val="24"/>
        </w:rPr>
        <w:t xml:space="preserve"> (commencing at Government Code </w:t>
      </w:r>
      <w:r w:rsidR="00D37DDC" w:rsidRPr="00F04D41">
        <w:rPr>
          <w:rFonts w:ascii="Arial" w:hAnsi="Arial" w:cs="Arial"/>
          <w:sz w:val="24"/>
          <w:szCs w:val="24"/>
        </w:rPr>
        <w:t>s</w:t>
      </w:r>
      <w:r w:rsidRPr="00F04D41">
        <w:rPr>
          <w:rFonts w:ascii="Arial" w:hAnsi="Arial" w:cs="Arial"/>
          <w:sz w:val="24"/>
          <w:szCs w:val="24"/>
        </w:rPr>
        <w:t>ection 11340) relating to administrative regulations and rulemaking.</w:t>
      </w:r>
    </w:p>
    <w:p w14:paraId="6761F318" w14:textId="77777777" w:rsidR="0090371C" w:rsidRPr="00F04D41" w:rsidRDefault="0090371C" w:rsidP="00957C06">
      <w:pPr>
        <w:spacing w:after="240"/>
        <w:jc w:val="left"/>
        <w:rPr>
          <w:rFonts w:ascii="Arial" w:hAnsi="Arial" w:cs="Arial"/>
          <w:sz w:val="24"/>
          <w:szCs w:val="24"/>
        </w:rPr>
      </w:pPr>
      <w:r w:rsidRPr="00F04D41">
        <w:rPr>
          <w:rFonts w:ascii="Arial" w:hAnsi="Arial" w:cs="Arial"/>
          <w:sz w:val="24"/>
          <w:szCs w:val="24"/>
        </w:rPr>
        <w:t xml:space="preserve">This rulemaking proceeding to amend the </w:t>
      </w:r>
      <w:r w:rsidR="00133786" w:rsidRPr="00F04D41">
        <w:rPr>
          <w:rFonts w:ascii="Arial" w:hAnsi="Arial" w:cs="Arial"/>
          <w:sz w:val="24"/>
          <w:szCs w:val="24"/>
        </w:rPr>
        <w:t xml:space="preserve">Physician </w:t>
      </w:r>
      <w:r w:rsidR="007A6FDB" w:rsidRPr="00F04D41">
        <w:rPr>
          <w:rFonts w:ascii="Arial" w:hAnsi="Arial" w:cs="Arial"/>
          <w:sz w:val="24"/>
          <w:szCs w:val="24"/>
        </w:rPr>
        <w:t xml:space="preserve">and Non-Physician Practitioner </w:t>
      </w:r>
      <w:r w:rsidRPr="00F04D41">
        <w:rPr>
          <w:rFonts w:ascii="Arial" w:hAnsi="Arial" w:cs="Arial"/>
          <w:sz w:val="24"/>
          <w:szCs w:val="24"/>
        </w:rPr>
        <w:t xml:space="preserve">Fee Schedule </w:t>
      </w:r>
      <w:r w:rsidR="007A6FDB" w:rsidRPr="00F04D41">
        <w:rPr>
          <w:rFonts w:ascii="Arial" w:hAnsi="Arial" w:cs="Arial"/>
          <w:sz w:val="24"/>
          <w:szCs w:val="24"/>
        </w:rPr>
        <w:t xml:space="preserve">and Pharmaceutical Fee Schedule </w:t>
      </w:r>
      <w:r w:rsidRPr="00F04D41">
        <w:rPr>
          <w:rFonts w:ascii="Arial" w:hAnsi="Arial" w:cs="Arial"/>
          <w:sz w:val="24"/>
          <w:szCs w:val="24"/>
        </w:rPr>
        <w:t xml:space="preserve">is being conducted </w:t>
      </w:r>
      <w:r w:rsidR="007A6FDB" w:rsidRPr="00F04D41">
        <w:rPr>
          <w:rFonts w:ascii="Arial" w:hAnsi="Arial" w:cs="Arial"/>
          <w:sz w:val="24"/>
          <w:szCs w:val="24"/>
        </w:rPr>
        <w:t>pursuant to</w:t>
      </w:r>
      <w:r w:rsidRPr="00F04D41">
        <w:rPr>
          <w:rFonts w:ascii="Arial" w:hAnsi="Arial" w:cs="Arial"/>
          <w:sz w:val="24"/>
          <w:szCs w:val="24"/>
        </w:rPr>
        <w:t xml:space="preserve"> the </w:t>
      </w:r>
      <w:r w:rsidR="009B4BB0" w:rsidRPr="00F04D41">
        <w:rPr>
          <w:rFonts w:ascii="Arial" w:hAnsi="Arial" w:cs="Arial"/>
          <w:sz w:val="24"/>
          <w:szCs w:val="24"/>
        </w:rPr>
        <w:t xml:space="preserve">rulemaking power vested in the </w:t>
      </w:r>
      <w:r w:rsidR="007A6FDB" w:rsidRPr="00F04D41">
        <w:rPr>
          <w:rFonts w:ascii="Arial" w:hAnsi="Arial" w:cs="Arial"/>
          <w:sz w:val="24"/>
          <w:szCs w:val="24"/>
        </w:rPr>
        <w:t xml:space="preserve">Division of Workers’ Compensation </w:t>
      </w:r>
      <w:r w:rsidR="006D7985" w:rsidRPr="00F04D41">
        <w:rPr>
          <w:rFonts w:ascii="Arial" w:hAnsi="Arial" w:cs="Arial"/>
          <w:sz w:val="24"/>
          <w:szCs w:val="24"/>
        </w:rPr>
        <w:t>A</w:t>
      </w:r>
      <w:r w:rsidRPr="00F04D41">
        <w:rPr>
          <w:rFonts w:ascii="Arial" w:hAnsi="Arial" w:cs="Arial"/>
          <w:sz w:val="24"/>
          <w:szCs w:val="24"/>
        </w:rPr>
        <w:t xml:space="preserve">dministrative </w:t>
      </w:r>
      <w:r w:rsidR="006D7985" w:rsidRPr="00F04D41">
        <w:rPr>
          <w:rFonts w:ascii="Arial" w:hAnsi="Arial" w:cs="Arial"/>
          <w:sz w:val="24"/>
          <w:szCs w:val="24"/>
        </w:rPr>
        <w:t>D</w:t>
      </w:r>
      <w:r w:rsidR="009B4BB0" w:rsidRPr="00F04D41">
        <w:rPr>
          <w:rFonts w:ascii="Arial" w:hAnsi="Arial" w:cs="Arial"/>
          <w:sz w:val="24"/>
          <w:szCs w:val="24"/>
        </w:rPr>
        <w:t>irector by</w:t>
      </w:r>
      <w:r w:rsidRPr="00F04D41">
        <w:rPr>
          <w:rFonts w:ascii="Arial" w:hAnsi="Arial" w:cs="Arial"/>
          <w:sz w:val="24"/>
          <w:szCs w:val="24"/>
        </w:rPr>
        <w:t xml:space="preserve"> Labor Code sections 133, 4603.5, 5307.1 and 5307.3.  This regulatory proceeding is subject to the procedural requirements of Labor Code </w:t>
      </w:r>
      <w:r w:rsidR="00D37DDC" w:rsidRPr="00F04D41">
        <w:rPr>
          <w:rFonts w:ascii="Arial" w:hAnsi="Arial" w:cs="Arial"/>
          <w:sz w:val="24"/>
          <w:szCs w:val="24"/>
        </w:rPr>
        <w:t>s</w:t>
      </w:r>
      <w:r w:rsidRPr="00F04D41">
        <w:rPr>
          <w:rFonts w:ascii="Arial" w:hAnsi="Arial" w:cs="Arial"/>
          <w:sz w:val="24"/>
          <w:szCs w:val="24"/>
        </w:rPr>
        <w:t>ections 5307.1 and 5307.4.</w:t>
      </w:r>
    </w:p>
    <w:p w14:paraId="33B7DC67" w14:textId="3A6C4023" w:rsidR="0090371C" w:rsidRPr="00F04D41" w:rsidRDefault="0090371C" w:rsidP="000516CB">
      <w:pPr>
        <w:spacing w:after="240"/>
        <w:jc w:val="left"/>
        <w:rPr>
          <w:rFonts w:ascii="Arial" w:hAnsi="Arial" w:cs="Arial"/>
          <w:sz w:val="24"/>
          <w:szCs w:val="24"/>
        </w:rPr>
      </w:pPr>
      <w:r w:rsidRPr="00F04D41">
        <w:rPr>
          <w:rFonts w:ascii="Arial" w:hAnsi="Arial" w:cs="Arial"/>
          <w:sz w:val="24"/>
          <w:szCs w:val="24"/>
        </w:rPr>
        <w:t xml:space="preserve">This </w:t>
      </w:r>
      <w:r w:rsidR="00F415F2">
        <w:rPr>
          <w:rFonts w:ascii="Arial" w:hAnsi="Arial" w:cs="Arial"/>
          <w:sz w:val="24"/>
          <w:szCs w:val="24"/>
        </w:rPr>
        <w:t>Final</w:t>
      </w:r>
      <w:r w:rsidR="00F415F2" w:rsidRPr="00F04D41">
        <w:rPr>
          <w:rFonts w:ascii="Arial" w:hAnsi="Arial" w:cs="Arial"/>
          <w:sz w:val="24"/>
          <w:szCs w:val="24"/>
        </w:rPr>
        <w:t xml:space="preserve"> </w:t>
      </w:r>
      <w:r w:rsidRPr="00F04D41">
        <w:rPr>
          <w:rFonts w:ascii="Arial" w:hAnsi="Arial" w:cs="Arial"/>
          <w:sz w:val="24"/>
          <w:szCs w:val="24"/>
        </w:rPr>
        <w:t xml:space="preserve">Statement of Reasons </w:t>
      </w:r>
      <w:r w:rsidR="00F415F2">
        <w:rPr>
          <w:rFonts w:ascii="Arial" w:hAnsi="Arial" w:cs="Arial"/>
          <w:sz w:val="24"/>
          <w:szCs w:val="24"/>
        </w:rPr>
        <w:t>is</w:t>
      </w:r>
      <w:r w:rsidRPr="00F04D41">
        <w:rPr>
          <w:rFonts w:ascii="Arial" w:hAnsi="Arial" w:cs="Arial"/>
          <w:sz w:val="24"/>
          <w:szCs w:val="24"/>
        </w:rPr>
        <w:t xml:space="preserve"> prepared to comply with the procedural requirements of Labor Code </w:t>
      </w:r>
      <w:r w:rsidR="00D37DDC" w:rsidRPr="00F04D41">
        <w:rPr>
          <w:rFonts w:ascii="Arial" w:hAnsi="Arial" w:cs="Arial"/>
          <w:sz w:val="24"/>
          <w:szCs w:val="24"/>
        </w:rPr>
        <w:t>s</w:t>
      </w:r>
      <w:r w:rsidRPr="00F04D41">
        <w:rPr>
          <w:rFonts w:ascii="Arial" w:hAnsi="Arial" w:cs="Arial"/>
          <w:sz w:val="24"/>
          <w:szCs w:val="24"/>
        </w:rPr>
        <w:t xml:space="preserve">ection 5307.4 </w:t>
      </w:r>
      <w:r w:rsidR="00F415F2">
        <w:rPr>
          <w:rFonts w:ascii="Arial" w:hAnsi="Arial" w:cs="Arial"/>
          <w:sz w:val="24"/>
          <w:szCs w:val="24"/>
        </w:rPr>
        <w:t>for</w:t>
      </w:r>
      <w:r w:rsidRPr="00F04D41">
        <w:rPr>
          <w:rFonts w:ascii="Arial" w:hAnsi="Arial" w:cs="Arial"/>
          <w:sz w:val="24"/>
          <w:szCs w:val="24"/>
        </w:rPr>
        <w:t xml:space="preserve"> this non-APA rulemaking proceeding.</w:t>
      </w:r>
    </w:p>
    <w:p w14:paraId="0CE62309" w14:textId="77777777" w:rsidR="00505470" w:rsidRPr="00505470" w:rsidRDefault="00505470" w:rsidP="000516CB">
      <w:pPr>
        <w:pStyle w:val="Heading1"/>
      </w:pPr>
      <w:r w:rsidRPr="00505470">
        <w:t>CONSIDERATION OF RELEVANT MATTER PRESENTED</w:t>
      </w:r>
    </w:p>
    <w:p w14:paraId="29DC5056" w14:textId="7327BE51" w:rsidR="00505470" w:rsidRPr="00505470" w:rsidRDefault="00505470" w:rsidP="00505470">
      <w:pPr>
        <w:spacing w:after="360"/>
        <w:jc w:val="left"/>
        <w:rPr>
          <w:rFonts w:ascii="Arial" w:hAnsi="Arial" w:cs="Arial"/>
          <w:sz w:val="24"/>
          <w:szCs w:val="24"/>
        </w:rPr>
      </w:pPr>
      <w:r w:rsidRPr="00505470">
        <w:rPr>
          <w:rFonts w:ascii="Arial" w:hAnsi="Arial" w:cs="Arial"/>
          <w:sz w:val="24"/>
          <w:szCs w:val="24"/>
        </w:rPr>
        <w:t>After Notice of the Proposed Rulemaking was published pursuant to Labor Code section 5307.4, a public hearing was held on April 1</w:t>
      </w:r>
      <w:r w:rsidR="003027B5">
        <w:rPr>
          <w:rFonts w:ascii="Arial" w:hAnsi="Arial" w:cs="Arial"/>
          <w:sz w:val="24"/>
          <w:szCs w:val="24"/>
        </w:rPr>
        <w:t>1</w:t>
      </w:r>
      <w:r w:rsidRPr="00505470">
        <w:rPr>
          <w:rFonts w:ascii="Arial" w:hAnsi="Arial" w:cs="Arial"/>
          <w:sz w:val="24"/>
          <w:szCs w:val="24"/>
        </w:rPr>
        <w:t>, 20</w:t>
      </w:r>
      <w:r w:rsidR="003027B5">
        <w:rPr>
          <w:rFonts w:ascii="Arial" w:hAnsi="Arial" w:cs="Arial"/>
          <w:sz w:val="24"/>
          <w:szCs w:val="24"/>
        </w:rPr>
        <w:t>24,</w:t>
      </w:r>
      <w:r w:rsidRPr="00505470">
        <w:rPr>
          <w:rFonts w:ascii="Arial" w:hAnsi="Arial" w:cs="Arial"/>
          <w:sz w:val="24"/>
          <w:szCs w:val="24"/>
        </w:rPr>
        <w:t xml:space="preserve"> at which interested persons could participate through the submission of written data, views, and arguments, including oral presentations.</w:t>
      </w:r>
      <w:r w:rsidR="003027B5">
        <w:rPr>
          <w:rFonts w:ascii="Arial" w:hAnsi="Arial" w:cs="Arial"/>
          <w:sz w:val="24"/>
          <w:szCs w:val="24"/>
        </w:rPr>
        <w:t xml:space="preserve"> Simultaneously a written comment period closing April 11, 2024</w:t>
      </w:r>
      <w:r w:rsidR="00722541">
        <w:rPr>
          <w:rFonts w:ascii="Arial" w:hAnsi="Arial" w:cs="Arial"/>
          <w:sz w:val="24"/>
          <w:szCs w:val="24"/>
        </w:rPr>
        <w:t>,</w:t>
      </w:r>
      <w:r w:rsidR="003027B5">
        <w:rPr>
          <w:rFonts w:ascii="Arial" w:hAnsi="Arial" w:cs="Arial"/>
          <w:sz w:val="24"/>
          <w:szCs w:val="24"/>
        </w:rPr>
        <w:t xml:space="preserve"> was conducted.</w:t>
      </w:r>
      <w:r w:rsidRPr="00505470">
        <w:rPr>
          <w:rFonts w:ascii="Arial" w:hAnsi="Arial" w:cs="Arial"/>
          <w:sz w:val="24"/>
          <w:szCs w:val="24"/>
        </w:rPr>
        <w:t xml:space="preserve"> </w:t>
      </w:r>
      <w:r w:rsidR="00722541">
        <w:rPr>
          <w:rFonts w:ascii="Arial" w:hAnsi="Arial" w:cs="Arial"/>
          <w:sz w:val="24"/>
          <w:szCs w:val="24"/>
        </w:rPr>
        <w:t>After review of comments received, a modified proposal was issued with a</w:t>
      </w:r>
      <w:r w:rsidRPr="00505470">
        <w:rPr>
          <w:rFonts w:ascii="Arial" w:hAnsi="Arial" w:cs="Arial"/>
          <w:sz w:val="24"/>
          <w:szCs w:val="24"/>
        </w:rPr>
        <w:t xml:space="preserve"> 15-day</w:t>
      </w:r>
      <w:r w:rsidR="00722541">
        <w:rPr>
          <w:rFonts w:ascii="Arial" w:hAnsi="Arial" w:cs="Arial"/>
          <w:sz w:val="24"/>
          <w:szCs w:val="24"/>
        </w:rPr>
        <w:t xml:space="preserve"> written</w:t>
      </w:r>
      <w:r w:rsidRPr="00505470">
        <w:rPr>
          <w:rFonts w:ascii="Arial" w:hAnsi="Arial" w:cs="Arial"/>
          <w:sz w:val="24"/>
          <w:szCs w:val="24"/>
        </w:rPr>
        <w:t xml:space="preserve"> comment period </w:t>
      </w:r>
      <w:r w:rsidR="00722541">
        <w:rPr>
          <w:rFonts w:ascii="Arial" w:hAnsi="Arial" w:cs="Arial"/>
          <w:sz w:val="24"/>
          <w:szCs w:val="24"/>
        </w:rPr>
        <w:t>closing on June 28</w:t>
      </w:r>
      <w:r w:rsidRPr="00505470">
        <w:rPr>
          <w:rFonts w:ascii="Arial" w:hAnsi="Arial" w:cs="Arial"/>
          <w:sz w:val="24"/>
          <w:szCs w:val="24"/>
        </w:rPr>
        <w:t>, 20</w:t>
      </w:r>
      <w:r w:rsidR="00722541">
        <w:rPr>
          <w:rFonts w:ascii="Arial" w:hAnsi="Arial" w:cs="Arial"/>
          <w:sz w:val="24"/>
          <w:szCs w:val="24"/>
        </w:rPr>
        <w:t>24. After review and consideration of comments received, a further modified proposal was issued with a 15-day written comment period closing on October 23, 2024</w:t>
      </w:r>
      <w:r w:rsidRPr="00505470">
        <w:rPr>
          <w:rFonts w:ascii="Arial" w:hAnsi="Arial" w:cs="Arial"/>
          <w:sz w:val="24"/>
          <w:szCs w:val="24"/>
        </w:rPr>
        <w:t>. The Administrative Director has subsequently considered all of the data, views, statements, and arguments presented or submitted.</w:t>
      </w:r>
    </w:p>
    <w:p w14:paraId="79BEF917" w14:textId="26441401" w:rsidR="00505470" w:rsidRPr="00505470" w:rsidRDefault="00505470" w:rsidP="00505470">
      <w:pPr>
        <w:spacing w:after="360"/>
        <w:jc w:val="left"/>
        <w:rPr>
          <w:rFonts w:ascii="Arial" w:hAnsi="Arial" w:cs="Arial"/>
          <w:sz w:val="24"/>
          <w:szCs w:val="24"/>
        </w:rPr>
      </w:pPr>
      <w:r w:rsidRPr="00505470">
        <w:rPr>
          <w:rFonts w:ascii="Arial" w:hAnsi="Arial" w:cs="Arial"/>
          <w:sz w:val="24"/>
          <w:szCs w:val="24"/>
        </w:rPr>
        <w:lastRenderedPageBreak/>
        <w:t xml:space="preserve">The Administrative Director of the Division of Workers' Compensation, pursuant to the authority vested in him, has </w:t>
      </w:r>
      <w:r w:rsidR="008A3270">
        <w:rPr>
          <w:rFonts w:ascii="Arial" w:hAnsi="Arial" w:cs="Arial"/>
          <w:sz w:val="24"/>
          <w:szCs w:val="24"/>
        </w:rPr>
        <w:t xml:space="preserve">adopted and </w:t>
      </w:r>
      <w:r w:rsidRPr="00505470">
        <w:rPr>
          <w:rFonts w:ascii="Arial" w:hAnsi="Arial" w:cs="Arial"/>
          <w:sz w:val="24"/>
          <w:szCs w:val="24"/>
        </w:rPr>
        <w:t>amended the following sections of Division 1, Chapter 4.5, Subchapter 1, of title 8, California Code of Regulations, relating to the Physician Fee Schedule</w:t>
      </w:r>
      <w:r w:rsidR="00DC2371">
        <w:rPr>
          <w:rFonts w:ascii="Arial" w:hAnsi="Arial" w:cs="Arial"/>
          <w:sz w:val="24"/>
          <w:szCs w:val="24"/>
        </w:rPr>
        <w:t xml:space="preserve"> and Pharmaceutical Fee Schedule</w:t>
      </w:r>
      <w:r w:rsidRPr="00505470">
        <w:rPr>
          <w:rFonts w:ascii="Arial" w:hAnsi="Arial" w:cs="Arial"/>
          <w:sz w:val="24"/>
          <w:szCs w:val="24"/>
        </w:rPr>
        <w:t xml:space="preserve"> component</w:t>
      </w:r>
      <w:r w:rsidR="00DC2371">
        <w:rPr>
          <w:rFonts w:ascii="Arial" w:hAnsi="Arial" w:cs="Arial"/>
          <w:sz w:val="24"/>
          <w:szCs w:val="24"/>
        </w:rPr>
        <w:t>s</w:t>
      </w:r>
      <w:r w:rsidRPr="00505470">
        <w:rPr>
          <w:rFonts w:ascii="Arial" w:hAnsi="Arial" w:cs="Arial"/>
          <w:sz w:val="24"/>
          <w:szCs w:val="24"/>
        </w:rPr>
        <w:t xml:space="preserve"> of the Official Medical Fee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ifications to Propsed Amendments to Title 8, California Code of Regulations Sections"/>
        <w:tblDescription w:val="This table sets forth the sections of title 8, California Code of Regulations that have been adopted by the Administrative Director through this rulemaking action."/>
      </w:tblPr>
      <w:tblGrid>
        <w:gridCol w:w="2535"/>
        <w:gridCol w:w="6095"/>
      </w:tblGrid>
      <w:tr w:rsidR="008A3270" w:rsidRPr="008A3270" w14:paraId="15ED87A6" w14:textId="77777777" w:rsidTr="00D30C28">
        <w:trPr>
          <w:tblHeader/>
        </w:trPr>
        <w:tc>
          <w:tcPr>
            <w:tcW w:w="2647" w:type="dxa"/>
            <w:shd w:val="clear" w:color="auto" w:fill="auto"/>
          </w:tcPr>
          <w:p w14:paraId="02017F6D" w14:textId="77777777" w:rsidR="008A3270" w:rsidRDefault="008A3270" w:rsidP="00DC2371">
            <w:pPr>
              <w:jc w:val="left"/>
              <w:rPr>
                <w:rFonts w:ascii="Arial" w:hAnsi="Arial" w:cs="Arial"/>
                <w:b/>
                <w:sz w:val="24"/>
                <w:szCs w:val="24"/>
              </w:rPr>
            </w:pPr>
            <w:r w:rsidRPr="008A3270">
              <w:rPr>
                <w:rFonts w:ascii="Arial" w:hAnsi="Arial" w:cs="Arial"/>
                <w:b/>
                <w:sz w:val="24"/>
                <w:szCs w:val="24"/>
              </w:rPr>
              <w:t>Title 8, CCR</w:t>
            </w:r>
          </w:p>
          <w:p w14:paraId="326F6467" w14:textId="0293FA99" w:rsidR="008A3270" w:rsidRPr="008A3270" w:rsidRDefault="008A3270" w:rsidP="008A3270">
            <w:pPr>
              <w:spacing w:after="360"/>
              <w:jc w:val="left"/>
              <w:rPr>
                <w:rFonts w:ascii="Arial" w:hAnsi="Arial" w:cs="Arial"/>
                <w:b/>
                <w:sz w:val="24"/>
                <w:szCs w:val="24"/>
              </w:rPr>
            </w:pPr>
            <w:r w:rsidRPr="008A3270">
              <w:rPr>
                <w:rFonts w:ascii="Arial" w:hAnsi="Arial" w:cs="Arial"/>
                <w:b/>
                <w:sz w:val="24"/>
                <w:szCs w:val="24"/>
              </w:rPr>
              <w:t>Section Amend/Adopt</w:t>
            </w:r>
          </w:p>
        </w:tc>
        <w:tc>
          <w:tcPr>
            <w:tcW w:w="6703" w:type="dxa"/>
            <w:shd w:val="clear" w:color="auto" w:fill="auto"/>
          </w:tcPr>
          <w:p w14:paraId="766B8580" w14:textId="782E76AC" w:rsidR="008A3270" w:rsidRPr="008A3270" w:rsidRDefault="008A3270" w:rsidP="008A3270">
            <w:pPr>
              <w:spacing w:after="360"/>
              <w:jc w:val="left"/>
              <w:rPr>
                <w:rFonts w:ascii="Arial" w:hAnsi="Arial" w:cs="Arial"/>
                <w:b/>
                <w:sz w:val="24"/>
                <w:szCs w:val="24"/>
              </w:rPr>
            </w:pPr>
            <w:r w:rsidRPr="008A3270">
              <w:rPr>
                <w:rFonts w:ascii="Arial" w:hAnsi="Arial" w:cs="Arial"/>
                <w:b/>
                <w:sz w:val="24"/>
                <w:szCs w:val="24"/>
              </w:rPr>
              <w:t xml:space="preserve">Title of Section </w:t>
            </w:r>
            <w:r>
              <w:rPr>
                <w:rFonts w:ascii="Arial" w:hAnsi="Arial" w:cs="Arial"/>
                <w:b/>
                <w:sz w:val="24"/>
                <w:szCs w:val="24"/>
              </w:rPr>
              <w:t>as Amended / Adopted</w:t>
            </w:r>
          </w:p>
        </w:tc>
      </w:tr>
      <w:tr w:rsidR="008A3270" w:rsidRPr="008A3270" w14:paraId="1553EA1A" w14:textId="77777777" w:rsidTr="00D30C28">
        <w:tc>
          <w:tcPr>
            <w:tcW w:w="2759" w:type="dxa"/>
            <w:shd w:val="clear" w:color="auto" w:fill="auto"/>
          </w:tcPr>
          <w:p w14:paraId="4CD0F980" w14:textId="21686B40"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9789.12.1</w:t>
            </w:r>
          </w:p>
        </w:tc>
        <w:tc>
          <w:tcPr>
            <w:tcW w:w="7311" w:type="dxa"/>
            <w:shd w:val="clear" w:color="auto" w:fill="auto"/>
          </w:tcPr>
          <w:p w14:paraId="080079F9" w14:textId="01E757F5"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Section 9789.12.1. Physician Fee Schedule:  Official Medical Fee Schedule for Physician and Non-Physician Practitioner Services – For Services Rendered On or After January 1, 2014.</w:t>
            </w:r>
            <w:r>
              <w:rPr>
                <w:rFonts w:ascii="Arial" w:hAnsi="Arial" w:cs="Arial"/>
                <w:sz w:val="24"/>
                <w:szCs w:val="24"/>
              </w:rPr>
              <w:t xml:space="preserve"> [Amend]</w:t>
            </w:r>
          </w:p>
        </w:tc>
      </w:tr>
      <w:tr w:rsidR="008A3270" w:rsidRPr="008A3270" w14:paraId="30041FC2" w14:textId="77777777" w:rsidTr="00D30C28">
        <w:tc>
          <w:tcPr>
            <w:tcW w:w="2647" w:type="dxa"/>
            <w:shd w:val="clear" w:color="auto" w:fill="auto"/>
          </w:tcPr>
          <w:p w14:paraId="2E668D2D" w14:textId="3458A7FE"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9789.13.2</w:t>
            </w:r>
          </w:p>
        </w:tc>
        <w:tc>
          <w:tcPr>
            <w:tcW w:w="6703" w:type="dxa"/>
            <w:shd w:val="clear" w:color="auto" w:fill="auto"/>
          </w:tcPr>
          <w:p w14:paraId="2F42C81F" w14:textId="7F551300"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Section 9789.13.2. Physician-Administered Drugs, Biologicals, Vaccines, Blood Products.</w:t>
            </w:r>
            <w:r>
              <w:rPr>
                <w:rFonts w:ascii="Arial" w:hAnsi="Arial" w:cs="Arial"/>
                <w:sz w:val="24"/>
                <w:szCs w:val="24"/>
              </w:rPr>
              <w:t xml:space="preserve"> [Amend]</w:t>
            </w:r>
          </w:p>
        </w:tc>
      </w:tr>
      <w:tr w:rsidR="008A3270" w:rsidRPr="008A3270" w14:paraId="5471A33E" w14:textId="77777777" w:rsidTr="00D30C28">
        <w:tc>
          <w:tcPr>
            <w:tcW w:w="2759" w:type="dxa"/>
            <w:shd w:val="clear" w:color="auto" w:fill="auto"/>
          </w:tcPr>
          <w:p w14:paraId="34059B3D" w14:textId="0F85F7B3"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9789.13.3</w:t>
            </w:r>
          </w:p>
        </w:tc>
        <w:tc>
          <w:tcPr>
            <w:tcW w:w="7311" w:type="dxa"/>
            <w:shd w:val="clear" w:color="auto" w:fill="auto"/>
          </w:tcPr>
          <w:p w14:paraId="56213EC3" w14:textId="04CB545B"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Physician-Dispensed Drugs.</w:t>
            </w:r>
            <w:r>
              <w:rPr>
                <w:rFonts w:ascii="Arial" w:hAnsi="Arial" w:cs="Arial"/>
                <w:sz w:val="24"/>
                <w:szCs w:val="24"/>
              </w:rPr>
              <w:t xml:space="preserve"> [Amend]</w:t>
            </w:r>
          </w:p>
        </w:tc>
      </w:tr>
      <w:tr w:rsidR="008A3270" w:rsidRPr="008A3270" w14:paraId="4B3CEFE6" w14:textId="77777777" w:rsidTr="00D30C28">
        <w:tc>
          <w:tcPr>
            <w:tcW w:w="2759" w:type="dxa"/>
            <w:shd w:val="clear" w:color="auto" w:fill="auto"/>
          </w:tcPr>
          <w:p w14:paraId="0C1F5398" w14:textId="3512C3A0"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w:t>
            </w:r>
          </w:p>
        </w:tc>
        <w:tc>
          <w:tcPr>
            <w:tcW w:w="7311" w:type="dxa"/>
            <w:shd w:val="clear" w:color="auto" w:fill="auto"/>
          </w:tcPr>
          <w:p w14:paraId="28D695C8" w14:textId="3474E37A"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Pharmacy – Pharmaceuticals Dispensed and Pharmaceutical Services Rendered Prior to [Month 1, 2025] [the first day of the month following: 180 days after the amendments are filed with the Secretary of State; date to be inserted by OAL].</w:t>
            </w:r>
            <w:r>
              <w:rPr>
                <w:rFonts w:ascii="Arial" w:hAnsi="Arial" w:cs="Arial"/>
                <w:sz w:val="24"/>
                <w:szCs w:val="24"/>
              </w:rPr>
              <w:t xml:space="preserve"> [Amend]</w:t>
            </w:r>
          </w:p>
        </w:tc>
      </w:tr>
      <w:tr w:rsidR="008A3270" w:rsidRPr="008A3270" w14:paraId="6C49B08A" w14:textId="77777777" w:rsidTr="00D30C28">
        <w:tc>
          <w:tcPr>
            <w:tcW w:w="2647" w:type="dxa"/>
            <w:shd w:val="clear" w:color="auto" w:fill="auto"/>
          </w:tcPr>
          <w:p w14:paraId="6201A3D6" w14:textId="537959E7"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9789.40.1</w:t>
            </w:r>
          </w:p>
        </w:tc>
        <w:tc>
          <w:tcPr>
            <w:tcW w:w="6703" w:type="dxa"/>
            <w:shd w:val="clear" w:color="auto" w:fill="auto"/>
          </w:tcPr>
          <w:p w14:paraId="73F72B6B" w14:textId="1E2DA977"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 xml:space="preserve">Pharmaceutical Fee Data File for Pharmacy and Physician Dispensed Pharmaceuticals; National Provider Identifier File for Pharmacy Dispensed Pharmaceuticals; for Products Dispensed and Services Rendered on or after </w:t>
            </w:r>
            <w:r w:rsidRPr="008A3270">
              <w:rPr>
                <w:rFonts w:ascii="Arial" w:hAnsi="Arial" w:cs="Arial"/>
                <w:iCs/>
                <w:sz w:val="24"/>
                <w:szCs w:val="24"/>
              </w:rPr>
              <w:t xml:space="preserve">[Month 1, 2025] </w:t>
            </w:r>
            <w:r w:rsidRPr="008A3270">
              <w:rPr>
                <w:rFonts w:ascii="Arial" w:hAnsi="Arial" w:cs="Arial"/>
                <w:sz w:val="24"/>
                <w:szCs w:val="24"/>
              </w:rPr>
              <w:t>[the first day of the month following: 180 days after the amendments are filed with the Secretary of State; date to be inserted by OAL].</w:t>
            </w:r>
            <w:r>
              <w:rPr>
                <w:rFonts w:ascii="Arial" w:hAnsi="Arial" w:cs="Arial"/>
                <w:sz w:val="24"/>
                <w:szCs w:val="24"/>
              </w:rPr>
              <w:t xml:space="preserve"> [Adopt]</w:t>
            </w:r>
          </w:p>
        </w:tc>
      </w:tr>
      <w:tr w:rsidR="008A3270" w:rsidRPr="008A3270" w14:paraId="5A3BA5CC" w14:textId="77777777" w:rsidTr="00D30C28">
        <w:tc>
          <w:tcPr>
            <w:tcW w:w="2647" w:type="dxa"/>
            <w:shd w:val="clear" w:color="auto" w:fill="auto"/>
          </w:tcPr>
          <w:p w14:paraId="2F014883" w14:textId="22325794"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9789.40.2</w:t>
            </w:r>
          </w:p>
        </w:tc>
        <w:tc>
          <w:tcPr>
            <w:tcW w:w="6703" w:type="dxa"/>
            <w:shd w:val="clear" w:color="auto" w:fill="auto"/>
          </w:tcPr>
          <w:p w14:paraId="5F47A2C1" w14:textId="38C258F8"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 xml:space="preserve">Pharmaceuticals Dispensed and Pharmaceutical Services Rendered </w:t>
            </w:r>
            <w:proofErr w:type="gramStart"/>
            <w:r w:rsidRPr="008A3270">
              <w:rPr>
                <w:rFonts w:ascii="Arial" w:hAnsi="Arial" w:cs="Arial"/>
                <w:sz w:val="24"/>
                <w:szCs w:val="24"/>
              </w:rPr>
              <w:t>By</w:t>
            </w:r>
            <w:proofErr w:type="gramEnd"/>
            <w:r w:rsidRPr="008A3270">
              <w:rPr>
                <w:rFonts w:ascii="Arial" w:hAnsi="Arial" w:cs="Arial"/>
                <w:sz w:val="24"/>
                <w:szCs w:val="24"/>
              </w:rPr>
              <w:t xml:space="preserve"> a Pharmacy on or after [Month 1, 2025] [the first day of the month following</w:t>
            </w:r>
            <w:r w:rsidR="00E3541A">
              <w:rPr>
                <w:rFonts w:ascii="Arial" w:hAnsi="Arial" w:cs="Arial"/>
                <w:sz w:val="24"/>
                <w:szCs w:val="24"/>
              </w:rPr>
              <w:t>:</w:t>
            </w:r>
            <w:r w:rsidRPr="008A3270">
              <w:rPr>
                <w:rFonts w:ascii="Arial" w:hAnsi="Arial" w:cs="Arial"/>
                <w:sz w:val="24"/>
                <w:szCs w:val="24"/>
              </w:rPr>
              <w:t xml:space="preserve"> 180 days after the amendments are filed with the Secretary of State; date to be inserted by OAL].</w:t>
            </w:r>
            <w:r>
              <w:rPr>
                <w:rFonts w:ascii="Arial" w:hAnsi="Arial" w:cs="Arial"/>
                <w:sz w:val="24"/>
                <w:szCs w:val="24"/>
              </w:rPr>
              <w:t xml:space="preserve"> [Adopt]</w:t>
            </w:r>
          </w:p>
        </w:tc>
      </w:tr>
      <w:tr w:rsidR="008A3270" w:rsidRPr="008A3270" w14:paraId="25DEAFAF" w14:textId="77777777" w:rsidTr="00D30C28">
        <w:tc>
          <w:tcPr>
            <w:tcW w:w="2647" w:type="dxa"/>
            <w:shd w:val="clear" w:color="auto" w:fill="auto"/>
          </w:tcPr>
          <w:p w14:paraId="683C8AEC" w14:textId="37A6414A"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9789.40.3</w:t>
            </w:r>
          </w:p>
        </w:tc>
        <w:tc>
          <w:tcPr>
            <w:tcW w:w="6703" w:type="dxa"/>
            <w:shd w:val="clear" w:color="auto" w:fill="auto"/>
          </w:tcPr>
          <w:p w14:paraId="75AA6B2E" w14:textId="0C1EEB03"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 xml:space="preserve">Compounded Pharmaceuticals Dispensed By a Pharmacy on or after [Month 1, 2025] [the first day of the month following: 180 days after the amendments </w:t>
            </w:r>
            <w:r w:rsidRPr="008A3270">
              <w:rPr>
                <w:rFonts w:ascii="Arial" w:hAnsi="Arial" w:cs="Arial"/>
                <w:sz w:val="24"/>
                <w:szCs w:val="24"/>
              </w:rPr>
              <w:lastRenderedPageBreak/>
              <w:t>are filed with the Secretary of State; date to be inserted by OAL].</w:t>
            </w:r>
            <w:r>
              <w:rPr>
                <w:rFonts w:ascii="Arial" w:hAnsi="Arial" w:cs="Arial"/>
                <w:sz w:val="24"/>
                <w:szCs w:val="24"/>
              </w:rPr>
              <w:t xml:space="preserve"> [Adopt]</w:t>
            </w:r>
          </w:p>
        </w:tc>
      </w:tr>
      <w:tr w:rsidR="008A3270" w:rsidRPr="008A3270" w14:paraId="13EE9164" w14:textId="77777777" w:rsidTr="00D30C28">
        <w:tc>
          <w:tcPr>
            <w:tcW w:w="2647" w:type="dxa"/>
            <w:shd w:val="clear" w:color="auto" w:fill="auto"/>
          </w:tcPr>
          <w:p w14:paraId="77B552FD" w14:textId="70568E92"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lastRenderedPageBreak/>
              <w:t>Section 9789.40.4</w:t>
            </w:r>
          </w:p>
        </w:tc>
        <w:tc>
          <w:tcPr>
            <w:tcW w:w="6703" w:type="dxa"/>
            <w:shd w:val="clear" w:color="auto" w:fill="auto"/>
          </w:tcPr>
          <w:p w14:paraId="023DB251" w14:textId="6C196123"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Compounding Fee and Sterility Fee for Pharmacy Dispensed or Physician Dispensed Compounded Drugs: Route of Administration Compounding Fee / Sterility Fee Table; Dosage Form Compounding Fee Table; Compounded Drugs Dispensed on or after [Month 1, 2025] [the first day of the month following</w:t>
            </w:r>
            <w:r w:rsidR="00E3541A">
              <w:rPr>
                <w:rFonts w:ascii="Arial" w:hAnsi="Arial" w:cs="Arial"/>
                <w:sz w:val="24"/>
                <w:szCs w:val="24"/>
              </w:rPr>
              <w:t>:</w:t>
            </w:r>
            <w:r w:rsidRPr="008A3270">
              <w:rPr>
                <w:rFonts w:ascii="Arial" w:hAnsi="Arial" w:cs="Arial"/>
                <w:sz w:val="24"/>
                <w:szCs w:val="24"/>
              </w:rPr>
              <w:t xml:space="preserve"> 180 days after the amendments are filed with the Secretary of State; date to be inserted by OAL].</w:t>
            </w:r>
            <w:r>
              <w:rPr>
                <w:rFonts w:ascii="Arial" w:hAnsi="Arial" w:cs="Arial"/>
                <w:sz w:val="24"/>
                <w:szCs w:val="24"/>
              </w:rPr>
              <w:t xml:space="preserve"> [Adopt]</w:t>
            </w:r>
          </w:p>
        </w:tc>
      </w:tr>
      <w:tr w:rsidR="008A3270" w:rsidRPr="008A3270" w14:paraId="683A9CAD" w14:textId="77777777" w:rsidTr="00D30C28">
        <w:tc>
          <w:tcPr>
            <w:tcW w:w="2647" w:type="dxa"/>
            <w:shd w:val="clear" w:color="auto" w:fill="auto"/>
          </w:tcPr>
          <w:p w14:paraId="79F69D04" w14:textId="070AD3A9"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9789.40.5</w:t>
            </w:r>
          </w:p>
        </w:tc>
        <w:tc>
          <w:tcPr>
            <w:tcW w:w="6703" w:type="dxa"/>
            <w:shd w:val="clear" w:color="auto" w:fill="auto"/>
          </w:tcPr>
          <w:p w14:paraId="04F28DE7" w14:textId="7739F5CE"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 xml:space="preserve">Miscellaneous Provisions - Pharmaceuticals Dispensed </w:t>
            </w:r>
            <w:proofErr w:type="gramStart"/>
            <w:r w:rsidRPr="008A3270">
              <w:rPr>
                <w:rFonts w:ascii="Arial" w:hAnsi="Arial" w:cs="Arial"/>
                <w:sz w:val="24"/>
                <w:szCs w:val="24"/>
              </w:rPr>
              <w:t>By</w:t>
            </w:r>
            <w:proofErr w:type="gramEnd"/>
            <w:r w:rsidRPr="008A3270">
              <w:rPr>
                <w:rFonts w:ascii="Arial" w:hAnsi="Arial" w:cs="Arial"/>
                <w:sz w:val="24"/>
                <w:szCs w:val="24"/>
              </w:rPr>
              <w:t xml:space="preserve"> a Pharmacy on or after [Month 1, 2025] [the first day of the month following</w:t>
            </w:r>
            <w:r w:rsidR="00E3541A">
              <w:rPr>
                <w:rFonts w:ascii="Arial" w:hAnsi="Arial" w:cs="Arial"/>
                <w:sz w:val="24"/>
                <w:szCs w:val="24"/>
              </w:rPr>
              <w:t>:</w:t>
            </w:r>
            <w:r w:rsidRPr="008A3270">
              <w:rPr>
                <w:rFonts w:ascii="Arial" w:hAnsi="Arial" w:cs="Arial"/>
                <w:sz w:val="24"/>
                <w:szCs w:val="24"/>
              </w:rPr>
              <w:t xml:space="preserve"> 180 days after the amendments are filed with the Secretary of State; date to be inserted by OAL].</w:t>
            </w:r>
            <w:r>
              <w:rPr>
                <w:rFonts w:ascii="Arial" w:hAnsi="Arial" w:cs="Arial"/>
                <w:sz w:val="24"/>
                <w:szCs w:val="24"/>
              </w:rPr>
              <w:t xml:space="preserve"> [Adopt]</w:t>
            </w:r>
          </w:p>
        </w:tc>
      </w:tr>
      <w:tr w:rsidR="008A3270" w:rsidRPr="008A3270" w14:paraId="0E3B3431" w14:textId="77777777" w:rsidTr="00D30C28">
        <w:tc>
          <w:tcPr>
            <w:tcW w:w="2647" w:type="dxa"/>
            <w:shd w:val="clear" w:color="auto" w:fill="auto"/>
          </w:tcPr>
          <w:p w14:paraId="396FB47F" w14:textId="778D4127"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9789.40.6</w:t>
            </w:r>
          </w:p>
        </w:tc>
        <w:tc>
          <w:tcPr>
            <w:tcW w:w="6703" w:type="dxa"/>
            <w:shd w:val="clear" w:color="auto" w:fill="auto"/>
          </w:tcPr>
          <w:p w14:paraId="0D6C490D" w14:textId="71C206BA"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Pharmaceuticals Dispensed By a Physician on or after [Month 1, 2025] [the first day of the month following: 180 days after the amendments are filed with the Secretary of State; date to be inserted by OAL].</w:t>
            </w:r>
            <w:r>
              <w:rPr>
                <w:rFonts w:ascii="Arial" w:hAnsi="Arial" w:cs="Arial"/>
                <w:sz w:val="24"/>
                <w:szCs w:val="24"/>
              </w:rPr>
              <w:t xml:space="preserve"> [Adopt]</w:t>
            </w:r>
          </w:p>
        </w:tc>
      </w:tr>
      <w:tr w:rsidR="008A3270" w:rsidRPr="008A3270" w14:paraId="70490C9D" w14:textId="77777777" w:rsidTr="00D30C28">
        <w:tc>
          <w:tcPr>
            <w:tcW w:w="2647" w:type="dxa"/>
            <w:shd w:val="clear" w:color="auto" w:fill="auto"/>
          </w:tcPr>
          <w:p w14:paraId="1C3CC1CD" w14:textId="32C29708"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9789.40.7</w:t>
            </w:r>
          </w:p>
        </w:tc>
        <w:tc>
          <w:tcPr>
            <w:tcW w:w="6703" w:type="dxa"/>
            <w:shd w:val="clear" w:color="auto" w:fill="auto"/>
          </w:tcPr>
          <w:p w14:paraId="61E383ED" w14:textId="0206E2F6"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Compounded Pharmaceuticals Dispensed By a Physician on or after [Month 1, 2025] [the first day of the month following: 180 days after the amendments are filed with the Secretary of State; date to be inserted by OAL].</w:t>
            </w:r>
            <w:r>
              <w:rPr>
                <w:rFonts w:ascii="Arial" w:hAnsi="Arial" w:cs="Arial"/>
                <w:sz w:val="24"/>
                <w:szCs w:val="24"/>
              </w:rPr>
              <w:t xml:space="preserve"> [Adopt]</w:t>
            </w:r>
          </w:p>
        </w:tc>
      </w:tr>
      <w:tr w:rsidR="008A3270" w:rsidRPr="008A3270" w14:paraId="34BA2E09" w14:textId="77777777" w:rsidTr="00D30C28">
        <w:tc>
          <w:tcPr>
            <w:tcW w:w="2647" w:type="dxa"/>
            <w:shd w:val="clear" w:color="auto" w:fill="auto"/>
          </w:tcPr>
          <w:p w14:paraId="3AFE441B" w14:textId="2586D4C5" w:rsidR="008A3270" w:rsidRPr="008A3270" w:rsidRDefault="008A3270" w:rsidP="008A3270">
            <w:pPr>
              <w:spacing w:after="360"/>
              <w:jc w:val="left"/>
              <w:rPr>
                <w:rFonts w:ascii="Arial" w:hAnsi="Arial" w:cs="Arial"/>
                <w:b/>
                <w:bCs/>
                <w:sz w:val="24"/>
                <w:szCs w:val="24"/>
              </w:rPr>
            </w:pPr>
            <w:r w:rsidRPr="008A3270">
              <w:rPr>
                <w:rFonts w:ascii="Arial" w:hAnsi="Arial" w:cs="Arial"/>
                <w:b/>
                <w:bCs/>
                <w:sz w:val="24"/>
                <w:szCs w:val="24"/>
              </w:rPr>
              <w:t>Section 9789.111</w:t>
            </w:r>
          </w:p>
        </w:tc>
        <w:tc>
          <w:tcPr>
            <w:tcW w:w="6703" w:type="dxa"/>
            <w:shd w:val="clear" w:color="auto" w:fill="auto"/>
          </w:tcPr>
          <w:p w14:paraId="47878305" w14:textId="05B6CE51" w:rsidR="008A3270" w:rsidRPr="008A3270" w:rsidRDefault="008A3270" w:rsidP="008A3270">
            <w:pPr>
              <w:spacing w:after="360"/>
              <w:jc w:val="left"/>
              <w:rPr>
                <w:rFonts w:ascii="Arial" w:hAnsi="Arial" w:cs="Arial"/>
                <w:sz w:val="24"/>
                <w:szCs w:val="24"/>
              </w:rPr>
            </w:pPr>
            <w:r w:rsidRPr="008A3270">
              <w:rPr>
                <w:rFonts w:ascii="Arial" w:hAnsi="Arial" w:cs="Arial"/>
                <w:sz w:val="24"/>
                <w:szCs w:val="24"/>
              </w:rPr>
              <w:t>Effective Date of Fee Schedule Provisions.</w:t>
            </w:r>
            <w:r>
              <w:rPr>
                <w:rFonts w:ascii="Arial" w:hAnsi="Arial" w:cs="Arial"/>
                <w:sz w:val="24"/>
                <w:szCs w:val="24"/>
              </w:rPr>
              <w:t xml:space="preserve"> [Amend]</w:t>
            </w:r>
          </w:p>
        </w:tc>
      </w:tr>
    </w:tbl>
    <w:p w14:paraId="3630010A" w14:textId="77777777" w:rsidR="00DC2371" w:rsidRPr="00473A31" w:rsidRDefault="00DC2371" w:rsidP="007638A6">
      <w:pPr>
        <w:spacing w:before="240" w:after="240"/>
        <w:rPr>
          <w:rFonts w:ascii="Arial" w:hAnsi="Arial" w:cs="Arial"/>
          <w:b/>
          <w:sz w:val="24"/>
          <w:szCs w:val="24"/>
        </w:rPr>
      </w:pPr>
      <w:r w:rsidRPr="00473A31">
        <w:rPr>
          <w:rFonts w:ascii="Arial" w:hAnsi="Arial" w:cs="Arial"/>
          <w:b/>
          <w:sz w:val="24"/>
          <w:szCs w:val="24"/>
        </w:rPr>
        <w:t>UPDATE OF INITIAL STATEMENT OF REASONS AND INFORMATIVE DIGEST</w:t>
      </w:r>
    </w:p>
    <w:p w14:paraId="4D0FE515" w14:textId="77777777" w:rsidR="00DC2371" w:rsidRPr="00473A31" w:rsidRDefault="00DC2371" w:rsidP="007638A6">
      <w:pPr>
        <w:spacing w:after="240"/>
        <w:rPr>
          <w:rFonts w:ascii="Arial" w:hAnsi="Arial" w:cs="Arial"/>
          <w:sz w:val="24"/>
          <w:szCs w:val="24"/>
        </w:rPr>
      </w:pPr>
      <w:r w:rsidRPr="00473A31">
        <w:rPr>
          <w:rFonts w:ascii="Arial" w:hAnsi="Arial" w:cs="Arial"/>
          <w:sz w:val="24"/>
          <w:szCs w:val="24"/>
        </w:rPr>
        <w:t>The Administrative Director incorporates the Initial Statement of Reasons prepared in this matter.  The purposes and rationales for the regulations as set forth in the Initial Statement of Reasons continue to apply, unless otherwise noted in the Final Statement of Reasons.</w:t>
      </w:r>
    </w:p>
    <w:p w14:paraId="6B98B7A1" w14:textId="1D58FCDC" w:rsidR="00DC2371" w:rsidRPr="00473A31" w:rsidRDefault="00DC2371" w:rsidP="00DC2371">
      <w:pPr>
        <w:rPr>
          <w:rFonts w:ascii="Arial" w:hAnsi="Arial" w:cs="Arial"/>
          <w:sz w:val="24"/>
          <w:szCs w:val="24"/>
        </w:rPr>
      </w:pPr>
      <w:r w:rsidRPr="00473A31">
        <w:rPr>
          <w:rFonts w:ascii="Arial" w:hAnsi="Arial" w:cs="Arial"/>
          <w:sz w:val="24"/>
          <w:szCs w:val="24"/>
        </w:rPr>
        <w:t xml:space="preserve">The following sections of the </w:t>
      </w:r>
      <w:r>
        <w:rPr>
          <w:rFonts w:ascii="Arial" w:hAnsi="Arial" w:cs="Arial"/>
          <w:sz w:val="24"/>
          <w:szCs w:val="24"/>
        </w:rPr>
        <w:t xml:space="preserve">initially </w:t>
      </w:r>
      <w:r w:rsidRPr="00473A31">
        <w:rPr>
          <w:rFonts w:ascii="Arial" w:hAnsi="Arial" w:cs="Arial"/>
          <w:sz w:val="24"/>
          <w:szCs w:val="24"/>
        </w:rPr>
        <w:t xml:space="preserve">proposed regulations were modified </w:t>
      </w:r>
      <w:r w:rsidR="00D07AFC">
        <w:rPr>
          <w:rFonts w:ascii="Arial" w:hAnsi="Arial" w:cs="Arial"/>
          <w:sz w:val="24"/>
          <w:szCs w:val="24"/>
        </w:rPr>
        <w:t xml:space="preserve">after consideration of comments received during </w:t>
      </w:r>
      <w:r w:rsidRPr="00473A31">
        <w:rPr>
          <w:rFonts w:ascii="Arial" w:hAnsi="Arial" w:cs="Arial"/>
          <w:sz w:val="24"/>
          <w:szCs w:val="24"/>
        </w:rPr>
        <w:t xml:space="preserve">the </w:t>
      </w:r>
      <w:r>
        <w:rPr>
          <w:rFonts w:ascii="Arial" w:hAnsi="Arial" w:cs="Arial"/>
          <w:sz w:val="24"/>
          <w:szCs w:val="24"/>
        </w:rPr>
        <w:t xml:space="preserve">45-day written comment period and </w:t>
      </w:r>
      <w:r w:rsidRPr="00473A31">
        <w:rPr>
          <w:rFonts w:ascii="Arial" w:hAnsi="Arial" w:cs="Arial"/>
          <w:sz w:val="24"/>
          <w:szCs w:val="24"/>
        </w:rPr>
        <w:lastRenderedPageBreak/>
        <w:t>public hearing</w:t>
      </w:r>
      <w:r>
        <w:rPr>
          <w:rFonts w:ascii="Arial" w:hAnsi="Arial" w:cs="Arial"/>
          <w:sz w:val="24"/>
          <w:szCs w:val="24"/>
        </w:rPr>
        <w:t>,</w:t>
      </w:r>
      <w:r w:rsidRPr="00473A31">
        <w:rPr>
          <w:rFonts w:ascii="Arial" w:hAnsi="Arial" w:cs="Arial"/>
          <w:sz w:val="24"/>
          <w:szCs w:val="24"/>
        </w:rPr>
        <w:t xml:space="preserve"> and</w:t>
      </w:r>
      <w:r w:rsidR="00D07AFC">
        <w:rPr>
          <w:rFonts w:ascii="Arial" w:hAnsi="Arial" w:cs="Arial"/>
          <w:sz w:val="24"/>
          <w:szCs w:val="24"/>
        </w:rPr>
        <w:t xml:space="preserve"> comments received</w:t>
      </w:r>
      <w:r w:rsidRPr="00473A31">
        <w:rPr>
          <w:rFonts w:ascii="Arial" w:hAnsi="Arial" w:cs="Arial"/>
          <w:sz w:val="24"/>
          <w:szCs w:val="24"/>
        </w:rPr>
        <w:t xml:space="preserve"> </w:t>
      </w:r>
      <w:r w:rsidR="00D07AFC">
        <w:rPr>
          <w:rFonts w:ascii="Arial" w:hAnsi="Arial" w:cs="Arial"/>
          <w:sz w:val="24"/>
          <w:szCs w:val="24"/>
        </w:rPr>
        <w:t>during</w:t>
      </w:r>
      <w:r>
        <w:rPr>
          <w:rFonts w:ascii="Arial" w:hAnsi="Arial" w:cs="Arial"/>
          <w:sz w:val="24"/>
          <w:szCs w:val="24"/>
        </w:rPr>
        <w:t xml:space="preserve"> the two additional 15-day public comment periods. </w:t>
      </w:r>
      <w:r w:rsidRPr="00473A31">
        <w:rPr>
          <w:rFonts w:ascii="Arial" w:hAnsi="Arial" w:cs="Arial"/>
          <w:sz w:val="24"/>
          <w:szCs w:val="24"/>
        </w:rPr>
        <w:t xml:space="preserve">The regulation changes </w:t>
      </w:r>
      <w:r>
        <w:rPr>
          <w:rFonts w:ascii="Arial" w:hAnsi="Arial" w:cs="Arial"/>
          <w:sz w:val="24"/>
          <w:szCs w:val="24"/>
        </w:rPr>
        <w:t xml:space="preserve">beyond those set forth in the Initial Statement of Reasons </w:t>
      </w:r>
      <w:r w:rsidRPr="00473A31">
        <w:rPr>
          <w:rFonts w:ascii="Arial" w:hAnsi="Arial" w:cs="Arial"/>
          <w:sz w:val="24"/>
          <w:szCs w:val="24"/>
        </w:rPr>
        <w:t>are summarized below.</w:t>
      </w:r>
    </w:p>
    <w:p w14:paraId="5CC99159" w14:textId="77777777" w:rsidR="00DC2371" w:rsidRPr="00473A31" w:rsidRDefault="00DC2371" w:rsidP="00DC2371">
      <w:pPr>
        <w:rPr>
          <w:rFonts w:ascii="Arial" w:hAnsi="Arial" w:cs="Arial"/>
          <w:sz w:val="24"/>
          <w:szCs w:val="24"/>
        </w:rPr>
      </w:pPr>
    </w:p>
    <w:p w14:paraId="3BD9F8E5" w14:textId="0F289615" w:rsidR="00DC2371" w:rsidRPr="00473A31" w:rsidRDefault="00DC2371" w:rsidP="00D07AFC">
      <w:pPr>
        <w:pStyle w:val="Heading1"/>
      </w:pPr>
      <w:r w:rsidRPr="00473A31">
        <w:t xml:space="preserve">THE FOLLOWING SECTIONS WERE </w:t>
      </w:r>
      <w:r w:rsidR="00604615">
        <w:t>ADOPT</w:t>
      </w:r>
      <w:r w:rsidRPr="00473A31">
        <w:t>ED</w:t>
      </w:r>
      <w:r w:rsidR="00604615">
        <w:t xml:space="preserve"> OR AMENDED</w:t>
      </w:r>
      <w:r w:rsidRPr="00473A31">
        <w:t xml:space="preserve"> FOLLOWING </w:t>
      </w:r>
      <w:r w:rsidR="00604615">
        <w:t xml:space="preserve">CONSIDERATION OF PUBLIC COMMENTS IN </w:t>
      </w:r>
      <w:r w:rsidRPr="00473A31">
        <w:t xml:space="preserve">THE </w:t>
      </w:r>
      <w:r w:rsidR="00604615">
        <w:t xml:space="preserve">45-DAY WRITTEN COMMENT PERIOD AND </w:t>
      </w:r>
      <w:r w:rsidRPr="00473A31">
        <w:t>PUBLIC HEARING</w:t>
      </w:r>
      <w:r w:rsidR="00604615">
        <w:t>,</w:t>
      </w:r>
      <w:r w:rsidRPr="00473A31">
        <w:t xml:space="preserve"> AND </w:t>
      </w:r>
      <w:r w:rsidR="00604615">
        <w:t>TWO 15-DAY</w:t>
      </w:r>
      <w:r w:rsidRPr="00473A31">
        <w:t xml:space="preserve"> </w:t>
      </w:r>
      <w:r w:rsidR="00604615">
        <w:t>PUBLIC</w:t>
      </w:r>
      <w:r w:rsidRPr="00473A31">
        <w:t xml:space="preserve"> COMMENT PERIOD</w:t>
      </w:r>
      <w:r w:rsidR="00604615">
        <w:t>S</w:t>
      </w:r>
      <w:r w:rsidRPr="00473A31">
        <w:t>.</w:t>
      </w:r>
    </w:p>
    <w:p w14:paraId="1CC790DC" w14:textId="1FA04F92" w:rsidR="00857C93" w:rsidRPr="0085717F" w:rsidRDefault="008E621D" w:rsidP="00D916B2">
      <w:pPr>
        <w:pStyle w:val="Heading2"/>
      </w:pPr>
      <w:r>
        <w:t xml:space="preserve">Modifications to </w:t>
      </w:r>
      <w:r w:rsidR="004E07B2" w:rsidRPr="00D916B2">
        <w:t>Section</w:t>
      </w:r>
      <w:r w:rsidR="004E07B2" w:rsidRPr="0085717F">
        <w:t xml:space="preserve"> 9789.12.1</w:t>
      </w:r>
      <w:r w:rsidR="0067497B">
        <w:t>.</w:t>
      </w:r>
      <w:r w:rsidR="004E07B2" w:rsidRPr="0085717F">
        <w:t xml:space="preserve"> Physician Fee Schedule:  Official Medical Fee Schedule for Physician and Non-Physician Practitioner Services – For Services Rendered On or After January 1, 2014</w:t>
      </w:r>
      <w:r w:rsidR="0067497B">
        <w:t>.</w:t>
      </w:r>
    </w:p>
    <w:p w14:paraId="2F0D134D" w14:textId="67AFFD62" w:rsidR="004E07B2" w:rsidRPr="00F04D41" w:rsidRDefault="008E621D" w:rsidP="00957C06">
      <w:pPr>
        <w:spacing w:after="240"/>
        <w:jc w:val="left"/>
        <w:rPr>
          <w:rFonts w:ascii="Arial" w:hAnsi="Arial" w:cs="Arial"/>
          <w:sz w:val="24"/>
          <w:szCs w:val="24"/>
        </w:rPr>
      </w:pPr>
      <w:r w:rsidRPr="008E621D">
        <w:rPr>
          <w:rFonts w:ascii="Arial" w:hAnsi="Arial" w:cs="Arial"/>
          <w:sz w:val="24"/>
          <w:szCs w:val="24"/>
        </w:rPr>
        <w:t xml:space="preserve">Subdivision (c) which specifies that physicians shall utilize other applicable parts of the Official Medical Fee Schedule to determine maximum fees for services or goods not covered by the Physician Fee Schedule </w:t>
      </w:r>
      <w:r>
        <w:rPr>
          <w:rFonts w:ascii="Arial" w:hAnsi="Arial" w:cs="Arial"/>
          <w:sz w:val="24"/>
          <w:szCs w:val="24"/>
        </w:rPr>
        <w:t>was</w:t>
      </w:r>
      <w:r w:rsidRPr="008E621D">
        <w:rPr>
          <w:rFonts w:ascii="Arial" w:hAnsi="Arial" w:cs="Arial"/>
          <w:sz w:val="24"/>
          <w:szCs w:val="24"/>
        </w:rPr>
        <w:t xml:space="preserve"> </w:t>
      </w:r>
      <w:r w:rsidRPr="008E621D">
        <w:rPr>
          <w:rFonts w:ascii="Arial" w:hAnsi="Arial" w:cs="Arial"/>
          <w:bCs/>
          <w:sz w:val="24"/>
          <w:szCs w:val="24"/>
        </w:rPr>
        <w:t xml:space="preserve">modified to update the cross references to sections relating to physician-dispensed drugs.  The </w:t>
      </w:r>
      <w:r>
        <w:rPr>
          <w:rFonts w:ascii="Arial" w:hAnsi="Arial" w:cs="Arial"/>
          <w:bCs/>
          <w:sz w:val="24"/>
          <w:szCs w:val="24"/>
        </w:rPr>
        <w:t xml:space="preserve">purpose of the modification was to </w:t>
      </w:r>
      <w:r w:rsidRPr="008E621D">
        <w:rPr>
          <w:rFonts w:ascii="Arial" w:hAnsi="Arial" w:cs="Arial"/>
          <w:bCs/>
          <w:sz w:val="24"/>
          <w:szCs w:val="24"/>
        </w:rPr>
        <w:t xml:space="preserve">conform </w:t>
      </w:r>
      <w:r>
        <w:rPr>
          <w:rFonts w:ascii="Arial" w:hAnsi="Arial" w:cs="Arial"/>
          <w:bCs/>
          <w:sz w:val="24"/>
          <w:szCs w:val="24"/>
        </w:rPr>
        <w:t xml:space="preserve">the </w:t>
      </w:r>
      <w:r w:rsidRPr="008E621D">
        <w:rPr>
          <w:rFonts w:ascii="Arial" w:hAnsi="Arial" w:cs="Arial"/>
          <w:bCs/>
          <w:sz w:val="24"/>
          <w:szCs w:val="24"/>
        </w:rPr>
        <w:t>citations to numbering changes in the modified text of regulation</w:t>
      </w:r>
      <w:r w:rsidR="00D07AFC">
        <w:rPr>
          <w:rFonts w:ascii="Arial" w:hAnsi="Arial" w:cs="Arial"/>
          <w:sz w:val="24"/>
          <w:szCs w:val="24"/>
        </w:rPr>
        <w:t>.</w:t>
      </w:r>
    </w:p>
    <w:p w14:paraId="23AA4079" w14:textId="392CDFBD" w:rsidR="004E07B2" w:rsidRPr="0085717F" w:rsidRDefault="0094307B" w:rsidP="00D916B2">
      <w:pPr>
        <w:pStyle w:val="Heading2"/>
      </w:pPr>
      <w:r>
        <w:t xml:space="preserve">Modification to </w:t>
      </w:r>
      <w:r w:rsidR="00DB72FD" w:rsidRPr="0085717F">
        <w:t>Section 9789.13.2</w:t>
      </w:r>
      <w:r w:rsidR="0067497B">
        <w:t>.</w:t>
      </w:r>
      <w:r w:rsidR="00DB72FD" w:rsidRPr="0085717F">
        <w:t xml:space="preserve"> Physician-Administered Drugs, Biologicals, Vaccines, Blood Products</w:t>
      </w:r>
      <w:r w:rsidR="0067497B">
        <w:t>.</w:t>
      </w:r>
    </w:p>
    <w:p w14:paraId="08413DB3" w14:textId="20104DF8" w:rsidR="00120E31" w:rsidRPr="00120E31" w:rsidRDefault="00120E31" w:rsidP="00120E31">
      <w:pPr>
        <w:spacing w:after="240"/>
        <w:jc w:val="left"/>
        <w:rPr>
          <w:rFonts w:ascii="Arial" w:hAnsi="Arial" w:cs="Arial"/>
          <w:sz w:val="24"/>
          <w:u w:val="single"/>
        </w:rPr>
      </w:pPr>
      <w:r w:rsidRPr="00120E31">
        <w:rPr>
          <w:rFonts w:ascii="Arial" w:hAnsi="Arial" w:cs="Arial"/>
          <w:b/>
          <w:bCs/>
          <w:sz w:val="24"/>
        </w:rPr>
        <w:t>Subdivision (a)(4)</w:t>
      </w:r>
      <w:r w:rsidRPr="00120E31">
        <w:rPr>
          <w:rFonts w:ascii="Arial" w:hAnsi="Arial" w:cs="Arial"/>
          <w:sz w:val="24"/>
        </w:rPr>
        <w:t xml:space="preserve"> of this section of the Physician Fee Schedule provides that maximum reimbursement for physician </w:t>
      </w:r>
      <w:r w:rsidRPr="00120E31">
        <w:rPr>
          <w:rFonts w:ascii="Arial" w:hAnsi="Arial" w:cs="Arial"/>
          <w:i/>
          <w:iCs/>
          <w:sz w:val="24"/>
        </w:rPr>
        <w:t>administered</w:t>
      </w:r>
      <w:r w:rsidRPr="00120E31">
        <w:rPr>
          <w:rFonts w:ascii="Arial" w:hAnsi="Arial" w:cs="Arial"/>
          <w:sz w:val="24"/>
        </w:rPr>
        <w:t xml:space="preserve"> drugs, biologicals, vaccines, or blood products that are not listed in the Medi-Cal Rates file will be paid in accordance with the pharmaceutical fee schedule sections applicable to physicians for </w:t>
      </w:r>
      <w:r w:rsidRPr="00120E31">
        <w:rPr>
          <w:rFonts w:ascii="Arial" w:hAnsi="Arial" w:cs="Arial"/>
          <w:i/>
          <w:iCs/>
          <w:sz w:val="24"/>
        </w:rPr>
        <w:t>dispensed</w:t>
      </w:r>
      <w:r w:rsidRPr="00120E31">
        <w:rPr>
          <w:rFonts w:ascii="Arial" w:hAnsi="Arial" w:cs="Arial"/>
          <w:sz w:val="24"/>
        </w:rPr>
        <w:t xml:space="preserve"> drugs.  Subdivision (a)(4) </w:t>
      </w:r>
      <w:r>
        <w:rPr>
          <w:rFonts w:ascii="Arial" w:hAnsi="Arial" w:cs="Arial"/>
          <w:sz w:val="24"/>
        </w:rPr>
        <w:t>wa</w:t>
      </w:r>
      <w:r w:rsidRPr="00120E31">
        <w:rPr>
          <w:rFonts w:ascii="Arial" w:hAnsi="Arial" w:cs="Arial"/>
          <w:sz w:val="24"/>
        </w:rPr>
        <w:t>s modified to update the cross-references to sections of the pharmaceutical fee schedule applicable for physician-dispensed drugs by adding sections 9789.40.1, 9789.40.4, 9789.40.7 (to supplement the listing of sections 9789.40 and 9789.40.6) and by deleting section 9789.40.5. This</w:t>
      </w:r>
      <w:r>
        <w:rPr>
          <w:rFonts w:ascii="Arial" w:hAnsi="Arial" w:cs="Arial"/>
          <w:sz w:val="24"/>
        </w:rPr>
        <w:t xml:space="preserve"> modification</w:t>
      </w:r>
      <w:r w:rsidRPr="00120E31">
        <w:rPr>
          <w:rFonts w:ascii="Arial" w:hAnsi="Arial" w:cs="Arial"/>
          <w:sz w:val="24"/>
        </w:rPr>
        <w:t xml:space="preserve"> </w:t>
      </w:r>
      <w:r>
        <w:rPr>
          <w:rFonts w:ascii="Arial" w:hAnsi="Arial" w:cs="Arial"/>
          <w:sz w:val="24"/>
        </w:rPr>
        <w:t>wa</w:t>
      </w:r>
      <w:r w:rsidRPr="00120E31">
        <w:rPr>
          <w:rFonts w:ascii="Arial" w:hAnsi="Arial" w:cs="Arial"/>
          <w:sz w:val="24"/>
        </w:rPr>
        <w:t>s necessary for accuracy as the sections listed in the 1</w:t>
      </w:r>
      <w:r w:rsidRPr="00120E31">
        <w:rPr>
          <w:rFonts w:ascii="Arial" w:hAnsi="Arial" w:cs="Arial"/>
          <w:sz w:val="24"/>
          <w:vertAlign w:val="superscript"/>
        </w:rPr>
        <w:t>st</w:t>
      </w:r>
      <w:r w:rsidRPr="00120E31">
        <w:rPr>
          <w:rFonts w:ascii="Arial" w:hAnsi="Arial" w:cs="Arial"/>
          <w:sz w:val="24"/>
        </w:rPr>
        <w:t xml:space="preserve"> 15-day comment period text were not complete and the inclusion of section 9789.40.5 was erroneous as it applies only to pharmacies.</w:t>
      </w:r>
    </w:p>
    <w:p w14:paraId="1C29A93B" w14:textId="712AD4CA" w:rsidR="00B41CB0" w:rsidRPr="0085717F" w:rsidRDefault="0094307B" w:rsidP="00D916B2">
      <w:pPr>
        <w:pStyle w:val="Heading2"/>
      </w:pPr>
      <w:r>
        <w:t xml:space="preserve">Modification to </w:t>
      </w:r>
      <w:r w:rsidR="00690A26" w:rsidRPr="0085717F">
        <w:t>Section 9789.13.3</w:t>
      </w:r>
      <w:r w:rsidR="0067497B">
        <w:t>.</w:t>
      </w:r>
      <w:r w:rsidR="00690A26" w:rsidRPr="0085717F">
        <w:t xml:space="preserve"> Physician-Dispensed Drugs</w:t>
      </w:r>
      <w:r w:rsidR="0067497B">
        <w:t>.</w:t>
      </w:r>
    </w:p>
    <w:p w14:paraId="054DF3A9" w14:textId="0309198F" w:rsidR="00690A26" w:rsidRPr="00F04D41" w:rsidRDefault="0094307B" w:rsidP="00957C06">
      <w:pPr>
        <w:spacing w:after="240"/>
        <w:jc w:val="left"/>
        <w:rPr>
          <w:rFonts w:ascii="Arial" w:hAnsi="Arial" w:cs="Arial"/>
          <w:sz w:val="24"/>
        </w:rPr>
      </w:pPr>
      <w:r w:rsidRPr="0094307B">
        <w:rPr>
          <w:rFonts w:ascii="Arial" w:hAnsi="Arial" w:cs="Arial"/>
          <w:sz w:val="24"/>
        </w:rPr>
        <w:t xml:space="preserve">This section </w:t>
      </w:r>
      <w:r>
        <w:rPr>
          <w:rFonts w:ascii="Arial" w:hAnsi="Arial" w:cs="Arial"/>
          <w:sz w:val="24"/>
        </w:rPr>
        <w:t>wa</w:t>
      </w:r>
      <w:r w:rsidRPr="0094307B">
        <w:rPr>
          <w:rFonts w:ascii="Arial" w:hAnsi="Arial" w:cs="Arial"/>
          <w:sz w:val="24"/>
        </w:rPr>
        <w:t xml:space="preserve">s modified to update the cross references to sections relating to physician-dispensed drugs.  The citations </w:t>
      </w:r>
      <w:r>
        <w:rPr>
          <w:rFonts w:ascii="Arial" w:hAnsi="Arial" w:cs="Arial"/>
          <w:sz w:val="24"/>
        </w:rPr>
        <w:t>we</w:t>
      </w:r>
      <w:r w:rsidRPr="0094307B">
        <w:rPr>
          <w:rFonts w:ascii="Arial" w:hAnsi="Arial" w:cs="Arial"/>
          <w:sz w:val="24"/>
        </w:rPr>
        <w:t xml:space="preserve">re </w:t>
      </w:r>
      <w:r>
        <w:rPr>
          <w:rFonts w:ascii="Arial" w:hAnsi="Arial" w:cs="Arial"/>
          <w:sz w:val="24"/>
        </w:rPr>
        <w:t>modifi</w:t>
      </w:r>
      <w:r w:rsidRPr="0094307B">
        <w:rPr>
          <w:rFonts w:ascii="Arial" w:hAnsi="Arial" w:cs="Arial"/>
          <w:sz w:val="24"/>
        </w:rPr>
        <w:t>ed to</w:t>
      </w:r>
      <w:r>
        <w:rPr>
          <w:rFonts w:ascii="Arial" w:hAnsi="Arial" w:cs="Arial"/>
          <w:sz w:val="24"/>
        </w:rPr>
        <w:t xml:space="preserve"> add 9789.40.1, 9789.40.4, 9789.40.7, and to delete 9789.40.5 in order to</w:t>
      </w:r>
      <w:r w:rsidRPr="0094307B">
        <w:rPr>
          <w:rFonts w:ascii="Arial" w:hAnsi="Arial" w:cs="Arial"/>
          <w:sz w:val="24"/>
        </w:rPr>
        <w:t xml:space="preserve"> conform to other numbering changes in the modified text of regulation.</w:t>
      </w:r>
    </w:p>
    <w:p w14:paraId="1A8948DA" w14:textId="689AB818" w:rsidR="00872D44" w:rsidRPr="0085717F" w:rsidRDefault="00A464F0" w:rsidP="00D916B2">
      <w:pPr>
        <w:pStyle w:val="Heading2"/>
      </w:pPr>
      <w:r>
        <w:t xml:space="preserve">Modification to </w:t>
      </w:r>
      <w:r w:rsidR="00D309D3" w:rsidRPr="0085717F">
        <w:t>Section 9789.40</w:t>
      </w:r>
      <w:r w:rsidR="0067497B">
        <w:t>.</w:t>
      </w:r>
      <w:r w:rsidR="00D309D3" w:rsidRPr="0085717F">
        <w:t xml:space="preserve"> Pharmacy – Pharmaceuticals Dispensed and Pharmaceutical Services Rendered Prior to </w:t>
      </w:r>
      <w:r w:rsidR="00F27289" w:rsidRPr="0085717F">
        <w:t xml:space="preserve">[Month </w:t>
      </w:r>
      <w:r w:rsidR="00D07AFC">
        <w:t>1</w:t>
      </w:r>
      <w:r w:rsidR="00F27289" w:rsidRPr="0085717F">
        <w:t xml:space="preserve">, </w:t>
      </w:r>
      <w:r w:rsidRPr="0085717F">
        <w:t>202</w:t>
      </w:r>
      <w:r>
        <w:t>5</w:t>
      </w:r>
      <w:r w:rsidR="00F27289" w:rsidRPr="0085717F">
        <w:t xml:space="preserve">] </w:t>
      </w:r>
      <w:r w:rsidR="00184AA2" w:rsidRPr="0085717F">
        <w:t>[</w:t>
      </w:r>
      <w:r>
        <w:t>the first day of the month following</w:t>
      </w:r>
      <w:r w:rsidR="00E3541A">
        <w:t>:</w:t>
      </w:r>
      <w:r>
        <w:t xml:space="preserve"> 180</w:t>
      </w:r>
      <w:r w:rsidR="00F753A5" w:rsidRPr="0085717F">
        <w:t xml:space="preserve"> days after the amendments are filed with the Secretary of State</w:t>
      </w:r>
      <w:r w:rsidR="00F27289" w:rsidRPr="0085717F">
        <w:t>; d</w:t>
      </w:r>
      <w:r w:rsidR="00F753A5" w:rsidRPr="0085717F">
        <w:t>ate to be inserted by OAL]</w:t>
      </w:r>
      <w:r w:rsidR="0067497B">
        <w:t>.</w:t>
      </w:r>
    </w:p>
    <w:p w14:paraId="6D96711E" w14:textId="629926B9" w:rsidR="00A464F0" w:rsidRPr="00A464F0" w:rsidRDefault="00A464F0" w:rsidP="00A464F0">
      <w:pPr>
        <w:spacing w:after="240"/>
        <w:jc w:val="left"/>
        <w:rPr>
          <w:rFonts w:ascii="Arial" w:hAnsi="Arial" w:cs="Arial"/>
          <w:sz w:val="24"/>
        </w:rPr>
      </w:pPr>
      <w:r w:rsidRPr="00A464F0">
        <w:rPr>
          <w:rFonts w:ascii="Arial" w:hAnsi="Arial" w:cs="Arial"/>
          <w:sz w:val="24"/>
        </w:rPr>
        <w:lastRenderedPageBreak/>
        <w:t xml:space="preserve">The Administrative Director determined that it </w:t>
      </w:r>
      <w:r>
        <w:rPr>
          <w:rFonts w:ascii="Arial" w:hAnsi="Arial" w:cs="Arial"/>
          <w:sz w:val="24"/>
        </w:rPr>
        <w:t>was</w:t>
      </w:r>
      <w:r w:rsidRPr="00A464F0">
        <w:rPr>
          <w:rFonts w:ascii="Arial" w:hAnsi="Arial" w:cs="Arial"/>
          <w:sz w:val="24"/>
        </w:rPr>
        <w:t xml:space="preserve"> reasonable to extend the effective date of new provisions from 90 days to 180 days after the amendments are filed with the Secretary of State</w:t>
      </w:r>
      <w:r w:rsidR="00E17878">
        <w:rPr>
          <w:rFonts w:ascii="Arial" w:hAnsi="Arial" w:cs="Arial"/>
          <w:sz w:val="24"/>
        </w:rPr>
        <w:t xml:space="preserve"> to allow adequate time for the affected public to adjust systems as needed for implementation.</w:t>
      </w:r>
      <w:r w:rsidRPr="00A464F0">
        <w:rPr>
          <w:rFonts w:ascii="Arial" w:hAnsi="Arial" w:cs="Arial"/>
          <w:sz w:val="24"/>
        </w:rPr>
        <w:t xml:space="preserve">  For clarity and ease of implementation, the effective date is the first of the month as specified. The heading</w:t>
      </w:r>
      <w:r>
        <w:rPr>
          <w:rFonts w:ascii="Arial" w:hAnsi="Arial" w:cs="Arial"/>
          <w:sz w:val="24"/>
        </w:rPr>
        <w:t xml:space="preserve"> was</w:t>
      </w:r>
      <w:r w:rsidRPr="00A464F0">
        <w:rPr>
          <w:rFonts w:ascii="Arial" w:hAnsi="Arial" w:cs="Arial"/>
          <w:sz w:val="24"/>
        </w:rPr>
        <w:t xml:space="preserve"> modified to provide that this section maintaining the current fee schedule provisions is effective for services rendered prior to the date that is the first day of the month following: 180 (rather than 90 days) after the amendments are filed with the Secretary of State</w:t>
      </w:r>
      <w:r>
        <w:rPr>
          <w:rFonts w:ascii="Arial" w:hAnsi="Arial" w:cs="Arial"/>
          <w:sz w:val="24"/>
        </w:rPr>
        <w:t xml:space="preserve">, </w:t>
      </w:r>
      <w:r w:rsidRPr="00A464F0">
        <w:rPr>
          <w:rFonts w:ascii="Arial" w:hAnsi="Arial" w:cs="Arial"/>
          <w:sz w:val="24"/>
        </w:rPr>
        <w:t>in the year 2025.</w:t>
      </w:r>
    </w:p>
    <w:p w14:paraId="102CC78F" w14:textId="53AD94A1" w:rsidR="00A464F0" w:rsidRPr="00A464F0" w:rsidRDefault="00A464F0" w:rsidP="00A464F0">
      <w:pPr>
        <w:spacing w:after="240"/>
        <w:jc w:val="left"/>
        <w:rPr>
          <w:rFonts w:ascii="Arial" w:hAnsi="Arial" w:cs="Arial"/>
          <w:sz w:val="24"/>
          <w:u w:val="single"/>
        </w:rPr>
      </w:pPr>
      <w:r w:rsidRPr="00A464F0">
        <w:rPr>
          <w:rFonts w:ascii="Arial" w:hAnsi="Arial" w:cs="Arial"/>
          <w:sz w:val="24"/>
        </w:rPr>
        <w:t xml:space="preserve">Subdivision (a) </w:t>
      </w:r>
      <w:r>
        <w:rPr>
          <w:rFonts w:ascii="Arial" w:hAnsi="Arial" w:cs="Arial"/>
          <w:sz w:val="24"/>
        </w:rPr>
        <w:t>wa</w:t>
      </w:r>
      <w:r w:rsidRPr="00A464F0">
        <w:rPr>
          <w:rFonts w:ascii="Arial" w:hAnsi="Arial" w:cs="Arial"/>
          <w:sz w:val="24"/>
        </w:rPr>
        <w:t>s modified to extend the effective date of changes from 90 days to 180 days (specifying the first day of the month following), and to indicate that this will be in the year 2025. In order to improve clarity of the identification of the current file posted on the DWC website, the language is modified to conform the text of the regulation to the file name as posted “NDC_lowest_prices_2019-02-20” since 03/08/2019.</w:t>
      </w:r>
    </w:p>
    <w:p w14:paraId="20F060E3" w14:textId="599B5450" w:rsidR="00A464F0" w:rsidRPr="00A464F0" w:rsidRDefault="00A464F0" w:rsidP="00A464F0">
      <w:pPr>
        <w:spacing w:after="240"/>
        <w:jc w:val="left"/>
        <w:rPr>
          <w:rFonts w:ascii="Arial" w:hAnsi="Arial" w:cs="Arial"/>
          <w:sz w:val="24"/>
        </w:rPr>
      </w:pPr>
      <w:r w:rsidRPr="00A464F0">
        <w:rPr>
          <w:rFonts w:ascii="Arial" w:hAnsi="Arial" w:cs="Arial"/>
          <w:sz w:val="24"/>
        </w:rPr>
        <w:t xml:space="preserve">Subdivision (d) </w:t>
      </w:r>
      <w:r w:rsidR="003E38F2">
        <w:rPr>
          <w:rFonts w:ascii="Arial" w:hAnsi="Arial" w:cs="Arial"/>
          <w:sz w:val="24"/>
        </w:rPr>
        <w:t>wa</w:t>
      </w:r>
      <w:r w:rsidRPr="00A464F0">
        <w:rPr>
          <w:rFonts w:ascii="Arial" w:hAnsi="Arial" w:cs="Arial"/>
          <w:sz w:val="24"/>
        </w:rPr>
        <w:t>s modified to extend effective date of changes from 90 days to 180 days (specifying the first day of the month following), and to indicate that this will be in the year 2025.</w:t>
      </w:r>
    </w:p>
    <w:p w14:paraId="40C1B730" w14:textId="0E96CE24" w:rsidR="00A464F0" w:rsidRPr="00A464F0" w:rsidRDefault="00A464F0" w:rsidP="00A464F0">
      <w:pPr>
        <w:spacing w:after="240"/>
        <w:jc w:val="left"/>
        <w:rPr>
          <w:rFonts w:ascii="Arial" w:hAnsi="Arial" w:cs="Arial"/>
          <w:sz w:val="24"/>
        </w:rPr>
      </w:pPr>
      <w:r w:rsidRPr="00A464F0">
        <w:rPr>
          <w:rFonts w:ascii="Arial" w:hAnsi="Arial" w:cs="Arial"/>
          <w:sz w:val="24"/>
        </w:rPr>
        <w:t xml:space="preserve">Subdivision (e) </w:t>
      </w:r>
      <w:r w:rsidR="003E38F2">
        <w:rPr>
          <w:rFonts w:ascii="Arial" w:hAnsi="Arial" w:cs="Arial"/>
          <w:sz w:val="24"/>
        </w:rPr>
        <w:t>wa</w:t>
      </w:r>
      <w:r w:rsidRPr="00A464F0">
        <w:rPr>
          <w:rFonts w:ascii="Arial" w:hAnsi="Arial" w:cs="Arial"/>
          <w:sz w:val="24"/>
        </w:rPr>
        <w:t xml:space="preserve">s modified to improve clarity of the identification of the current file that remains in effect for services prior to the effective date. As originally proposed in the 45-day comment period, the current file was identified as “Medi-Cal data file </w:t>
      </w:r>
      <w:r w:rsidRPr="00A464F0">
        <w:rPr>
          <w:rFonts w:ascii="Arial" w:hAnsi="Arial" w:cs="Arial"/>
          <w:i/>
          <w:iCs/>
          <w:sz w:val="24"/>
        </w:rPr>
        <w:t>dated 03/08/2019</w:t>
      </w:r>
      <w:r w:rsidRPr="00A464F0">
        <w:rPr>
          <w:rFonts w:ascii="Arial" w:hAnsi="Arial" w:cs="Arial"/>
          <w:sz w:val="24"/>
        </w:rPr>
        <w:t xml:space="preserve">.” [Emphasis added.]  However, although the file was posted on the DWC website on 03/08/2019, the title of the file itself is “NDC_lowest_prices_2019-02-20”. To improve clarity and avoid confusion to the public, the identification of the current file that will remain in effect as specified in §9789.40 for services prior to the “effective date” </w:t>
      </w:r>
      <w:r w:rsidR="003E38F2">
        <w:rPr>
          <w:rFonts w:ascii="Arial" w:hAnsi="Arial" w:cs="Arial"/>
          <w:sz w:val="24"/>
        </w:rPr>
        <w:t>wa</w:t>
      </w:r>
      <w:r w:rsidRPr="00A464F0">
        <w:rPr>
          <w:rFonts w:ascii="Arial" w:hAnsi="Arial" w:cs="Arial"/>
          <w:sz w:val="24"/>
        </w:rPr>
        <w:t xml:space="preserve">s changed to “Medi-Cal data file “NDC_lowest_prices_2019-02-20” posted </w:t>
      </w:r>
      <w:r w:rsidRPr="00A464F0">
        <w:rPr>
          <w:rFonts w:ascii="Arial" w:hAnsi="Arial" w:cs="Arial"/>
          <w:iCs/>
          <w:sz w:val="24"/>
        </w:rPr>
        <w:t>03/08/2019.”</w:t>
      </w:r>
      <w:r w:rsidRPr="00A464F0">
        <w:rPr>
          <w:rFonts w:ascii="Arial" w:hAnsi="Arial" w:cs="Arial"/>
          <w:sz w:val="24"/>
        </w:rPr>
        <w:t xml:space="preserve">  In addition, to improve the clarity of the regulation the text </w:t>
      </w:r>
      <w:r w:rsidR="003E38F2">
        <w:rPr>
          <w:rFonts w:ascii="Arial" w:hAnsi="Arial" w:cs="Arial"/>
          <w:sz w:val="24"/>
        </w:rPr>
        <w:t>wa</w:t>
      </w:r>
      <w:r w:rsidRPr="00A464F0">
        <w:rPr>
          <w:rFonts w:ascii="Arial" w:hAnsi="Arial" w:cs="Arial"/>
          <w:sz w:val="24"/>
        </w:rPr>
        <w:t>s modified to identify the “Table 2024” compounding fee table that is in effect currently, and which has been effective and posted on the DWC website since the year 2004.</w:t>
      </w:r>
    </w:p>
    <w:p w14:paraId="710F85AD" w14:textId="77777777" w:rsidR="00D07AFC" w:rsidRDefault="00A464F0" w:rsidP="00D07AFC">
      <w:pPr>
        <w:spacing w:after="240"/>
        <w:jc w:val="left"/>
        <w:rPr>
          <w:rFonts w:ascii="Arial" w:hAnsi="Arial" w:cs="Arial"/>
          <w:sz w:val="24"/>
        </w:rPr>
      </w:pPr>
      <w:r w:rsidRPr="00A464F0">
        <w:rPr>
          <w:rFonts w:ascii="Arial" w:hAnsi="Arial" w:cs="Arial"/>
          <w:sz w:val="24"/>
        </w:rPr>
        <w:t xml:space="preserve">The subdivision </w:t>
      </w:r>
      <w:r w:rsidR="003E38F2">
        <w:rPr>
          <w:rFonts w:ascii="Arial" w:hAnsi="Arial" w:cs="Arial"/>
          <w:sz w:val="24"/>
        </w:rPr>
        <w:t>wa</w:t>
      </w:r>
      <w:r w:rsidRPr="00A464F0">
        <w:rPr>
          <w:rFonts w:ascii="Arial" w:hAnsi="Arial" w:cs="Arial"/>
          <w:sz w:val="24"/>
        </w:rPr>
        <w:t>s also modified in light of the modification of effective date of changes from 90 days to 180 days (specifying the first day of the month following) in sections 9789.40.1 through 9789.40.7, and to indicate that this will be in the year 2025.</w:t>
      </w:r>
    </w:p>
    <w:p w14:paraId="1DA1B44B" w14:textId="77777777" w:rsidR="003E38F2" w:rsidRPr="003E38F2" w:rsidRDefault="003E38F2" w:rsidP="003E38F2">
      <w:pPr>
        <w:pStyle w:val="Heading2"/>
        <w:rPr>
          <w:u w:val="single"/>
        </w:rPr>
      </w:pPr>
      <w:r w:rsidRPr="003E38F2">
        <w:rPr>
          <w:u w:val="single"/>
        </w:rPr>
        <w:t xml:space="preserve">Section 9789.40.1 Pharmaceutical Fee Data File for Pharmacy and Physician Dispensed Pharmaceuticals; National Provider Identifier File for Pharmacy Dispensed Pharmaceuticals; for Products Dispensed and Services Rendered on or after </w:t>
      </w:r>
      <w:bookmarkStart w:id="0" w:name="_Hlk164955391"/>
      <w:r w:rsidRPr="003E38F2">
        <w:rPr>
          <w:iCs/>
          <w:u w:val="single"/>
        </w:rPr>
        <w:t>[Month 1, 2025]</w:t>
      </w:r>
      <w:r w:rsidRPr="003E38F2">
        <w:rPr>
          <w:u w:val="single"/>
        </w:rPr>
        <w:t xml:space="preserve"> [the first day of the month following: </w:t>
      </w:r>
      <w:r w:rsidRPr="003E38F2">
        <w:rPr>
          <w:u w:val="double"/>
        </w:rPr>
        <w:t>180</w:t>
      </w:r>
      <w:r w:rsidRPr="003E38F2">
        <w:rPr>
          <w:u w:val="single"/>
        </w:rPr>
        <w:t xml:space="preserve"> days after the amendments are filed with the Secretary of State; date to be inserted by OAL].</w:t>
      </w:r>
      <w:bookmarkEnd w:id="0"/>
    </w:p>
    <w:p w14:paraId="5124A587" w14:textId="4E121ACD" w:rsidR="003E38F2" w:rsidRPr="003E38F2" w:rsidRDefault="003E38F2" w:rsidP="00E26E07">
      <w:pPr>
        <w:spacing w:after="240"/>
        <w:rPr>
          <w:rFonts w:ascii="Arial" w:hAnsi="Arial" w:cs="Arial"/>
          <w:sz w:val="24"/>
          <w:szCs w:val="24"/>
        </w:rPr>
      </w:pPr>
      <w:r w:rsidRPr="003E38F2">
        <w:rPr>
          <w:rFonts w:ascii="Arial" w:hAnsi="Arial" w:cs="Arial"/>
          <w:sz w:val="24"/>
          <w:szCs w:val="24"/>
        </w:rPr>
        <w:t xml:space="preserve">The proposed text of regulation </w:t>
      </w:r>
      <w:r>
        <w:rPr>
          <w:rFonts w:ascii="Arial" w:hAnsi="Arial" w:cs="Arial"/>
          <w:sz w:val="24"/>
          <w:szCs w:val="24"/>
        </w:rPr>
        <w:t>wa</w:t>
      </w:r>
      <w:r w:rsidRPr="003E38F2">
        <w:rPr>
          <w:rFonts w:ascii="Arial" w:hAnsi="Arial" w:cs="Arial"/>
          <w:sz w:val="24"/>
          <w:szCs w:val="24"/>
        </w:rPr>
        <w:t xml:space="preserve">s modified to add a new section 9789.40.1 to improve clarity and streamline the regulations by consolidating provisions relating </w:t>
      </w:r>
      <w:r w:rsidRPr="003E38F2">
        <w:rPr>
          <w:rFonts w:ascii="Arial" w:hAnsi="Arial" w:cs="Arial"/>
          <w:sz w:val="24"/>
          <w:szCs w:val="24"/>
        </w:rPr>
        <w:lastRenderedPageBreak/>
        <w:t xml:space="preserve">to the Pharmaceutical </w:t>
      </w:r>
      <w:r>
        <w:rPr>
          <w:rFonts w:ascii="Arial" w:hAnsi="Arial" w:cs="Arial"/>
          <w:sz w:val="24"/>
          <w:szCs w:val="24"/>
        </w:rPr>
        <w:t xml:space="preserve">Fee </w:t>
      </w:r>
      <w:r w:rsidRPr="003E38F2">
        <w:rPr>
          <w:rFonts w:ascii="Arial" w:hAnsi="Arial" w:cs="Arial"/>
          <w:sz w:val="24"/>
          <w:szCs w:val="24"/>
        </w:rPr>
        <w:t>Data File and the Medi-Cal NPI file in one section, and by including details on implementation</w:t>
      </w:r>
      <w:r w:rsidR="00703C5F">
        <w:rPr>
          <w:rFonts w:ascii="Arial" w:hAnsi="Arial" w:cs="Arial"/>
          <w:sz w:val="24"/>
          <w:szCs w:val="24"/>
        </w:rPr>
        <w:t xml:space="preserve"> timeframe</w:t>
      </w:r>
      <w:r w:rsidRPr="003E38F2">
        <w:rPr>
          <w:rFonts w:ascii="Arial" w:hAnsi="Arial" w:cs="Arial"/>
          <w:sz w:val="24"/>
          <w:szCs w:val="24"/>
        </w:rPr>
        <w:t xml:space="preserve"> and retroactive changes. The section specifies that it is effective for services rendered on or after the first day of the month following: 180 days after the amendments are filed with the Secretary of State.</w:t>
      </w:r>
    </w:p>
    <w:p w14:paraId="15900D6B" w14:textId="003DE29D" w:rsidR="00703C5F" w:rsidRPr="00703C5F" w:rsidRDefault="00703C5F" w:rsidP="00E26E07">
      <w:pPr>
        <w:spacing w:after="240"/>
        <w:rPr>
          <w:rFonts w:ascii="Arial" w:hAnsi="Arial" w:cs="Arial"/>
          <w:sz w:val="24"/>
          <w:szCs w:val="24"/>
        </w:rPr>
      </w:pPr>
      <w:r w:rsidRPr="00703C5F">
        <w:rPr>
          <w:rFonts w:ascii="Arial" w:hAnsi="Arial" w:cs="Arial"/>
          <w:b/>
          <w:bCs/>
          <w:sz w:val="24"/>
          <w:szCs w:val="24"/>
        </w:rPr>
        <w:t>Subdivision (a)</w:t>
      </w:r>
      <w:r w:rsidRPr="00703C5F">
        <w:rPr>
          <w:rFonts w:ascii="Arial" w:hAnsi="Arial" w:cs="Arial"/>
          <w:sz w:val="24"/>
          <w:szCs w:val="24"/>
        </w:rPr>
        <w:t xml:space="preserve"> defines “lowest cost” and “no substitution cost” to mean the rates set forth in the Pharmaceutical Data File, and specifies the formulas used by DWC to calculate the “lowest cost” and “no substitution cost.” These formulas </w:t>
      </w:r>
      <w:r>
        <w:rPr>
          <w:rFonts w:ascii="Arial" w:hAnsi="Arial" w:cs="Arial"/>
          <w:sz w:val="24"/>
          <w:szCs w:val="24"/>
        </w:rPr>
        <w:t>were</w:t>
      </w:r>
      <w:r w:rsidRPr="00703C5F">
        <w:rPr>
          <w:rFonts w:ascii="Arial" w:hAnsi="Arial" w:cs="Arial"/>
          <w:sz w:val="24"/>
          <w:szCs w:val="24"/>
        </w:rPr>
        <w:t xml:space="preserve"> removed from other regulation sections. The modification </w:t>
      </w:r>
      <w:r>
        <w:rPr>
          <w:rFonts w:ascii="Arial" w:hAnsi="Arial" w:cs="Arial"/>
          <w:sz w:val="24"/>
          <w:szCs w:val="24"/>
        </w:rPr>
        <w:t>wa</w:t>
      </w:r>
      <w:r w:rsidRPr="00703C5F">
        <w:rPr>
          <w:rFonts w:ascii="Arial" w:hAnsi="Arial" w:cs="Arial"/>
          <w:sz w:val="24"/>
          <w:szCs w:val="24"/>
        </w:rPr>
        <w:t xml:space="preserve">s intended to avert any misunderstanding by the public as the calculations of “lowest cost” and “no substitution cost” are performed by the DWC; the formulas for these components are not calculated by the public. Rather the “costs” set forth in the Pharmaceutical Fee Data File are calculated by the DWC and then used in the applicable formulas set forth in the other regulation sections to determine the maximum reasonable fee. The section specifies the formula </w:t>
      </w:r>
      <w:r w:rsidRPr="00703C5F">
        <w:rPr>
          <w:rFonts w:ascii="Arial" w:hAnsi="Arial" w:cs="Arial"/>
          <w:bCs/>
          <w:sz w:val="24"/>
          <w:szCs w:val="24"/>
        </w:rPr>
        <w:t xml:space="preserve">for drug ingredient “lowest cost” as the lowest </w:t>
      </w:r>
      <w:proofErr w:type="gramStart"/>
      <w:r w:rsidRPr="00703C5F">
        <w:rPr>
          <w:rFonts w:ascii="Arial" w:hAnsi="Arial" w:cs="Arial"/>
          <w:bCs/>
          <w:sz w:val="24"/>
          <w:szCs w:val="24"/>
        </w:rPr>
        <w:t>of:</w:t>
      </w:r>
      <w:proofErr w:type="gramEnd"/>
      <w:r w:rsidRPr="00703C5F">
        <w:rPr>
          <w:rFonts w:ascii="Arial" w:hAnsi="Arial" w:cs="Arial"/>
          <w:bCs/>
          <w:sz w:val="24"/>
          <w:szCs w:val="24"/>
        </w:rPr>
        <w:t xml:space="preserve"> the National Average Drug Acquisition Cost (or Wholesale Acquisition Cost</w:t>
      </w:r>
      <w:r w:rsidR="00AE4DB6">
        <w:rPr>
          <w:rFonts w:ascii="Arial" w:hAnsi="Arial" w:cs="Arial"/>
          <w:bCs/>
          <w:sz w:val="24"/>
          <w:szCs w:val="24"/>
        </w:rPr>
        <w:t xml:space="preserve"> plus 0%</w:t>
      </w:r>
      <w:r w:rsidRPr="00703C5F">
        <w:rPr>
          <w:rFonts w:ascii="Arial" w:hAnsi="Arial" w:cs="Arial"/>
          <w:bCs/>
          <w:sz w:val="24"/>
          <w:szCs w:val="24"/>
        </w:rPr>
        <w:t xml:space="preserve"> if a NADAC does not exist), the Federal Upper Limit, or Maximum Allowable Ingredient Cost. The section specifies the “no substitution cost” formula as </w:t>
      </w:r>
      <w:r w:rsidRPr="00703C5F">
        <w:rPr>
          <w:rFonts w:ascii="Arial" w:hAnsi="Arial" w:cs="Arial"/>
          <w:sz w:val="24"/>
          <w:szCs w:val="24"/>
        </w:rPr>
        <w:t>the NADAC of the drug, or when no NADAC is available, the Wholesale Acquisition Cost (WAC) +0%, for products where the “no substitution cost” differs from the “lowest cost”.</w:t>
      </w:r>
    </w:p>
    <w:p w14:paraId="525F8EE6" w14:textId="2BDA20AE" w:rsidR="00703C5F" w:rsidRPr="00703C5F" w:rsidRDefault="00703C5F" w:rsidP="00E26E07">
      <w:pPr>
        <w:spacing w:after="240"/>
        <w:rPr>
          <w:rFonts w:ascii="Arial" w:hAnsi="Arial" w:cs="Arial"/>
          <w:sz w:val="24"/>
          <w:szCs w:val="24"/>
        </w:rPr>
      </w:pPr>
      <w:r w:rsidRPr="00703C5F">
        <w:rPr>
          <w:rFonts w:ascii="Arial" w:hAnsi="Arial" w:cs="Arial"/>
          <w:sz w:val="24"/>
          <w:szCs w:val="24"/>
        </w:rPr>
        <w:t xml:space="preserve">To provide clarity on the schedule of Pharmaceutical Data File updates, the regulations specify that an updated file will be posted on a weekly basis absent extenuating circumstances. To ensure that payers will implement updates promptly the section requires that payers shall begin calculating fees based on each new file not later than the second calendar day after posting on the DWC website. In light of potential retroactive changes in the weekly update, or cost updates during the period between posting of the file and implementation, the regulation specifies that the payer shall re-adjudicate previously paid claims upon submission of a request for second review by the provider. </w:t>
      </w:r>
      <w:r>
        <w:rPr>
          <w:rFonts w:ascii="Arial" w:hAnsi="Arial" w:cs="Arial"/>
          <w:sz w:val="24"/>
          <w:szCs w:val="24"/>
        </w:rPr>
        <w:t>These changes were</w:t>
      </w:r>
      <w:r w:rsidRPr="00703C5F">
        <w:rPr>
          <w:rFonts w:ascii="Arial" w:hAnsi="Arial" w:cs="Arial"/>
          <w:sz w:val="24"/>
          <w:szCs w:val="24"/>
        </w:rPr>
        <w:t xml:space="preserve"> necessary to provide clarity on the mechanism to initiate payment of retroactive changes. The regulation also improves clarity by adding details regarding the Legend Indicator column of the Pharmaceutical Fee Data File.</w:t>
      </w:r>
    </w:p>
    <w:p w14:paraId="23E6D89C" w14:textId="1952AC23" w:rsidR="00DD14E7" w:rsidRPr="00DD14E7" w:rsidRDefault="00DD14E7" w:rsidP="00E26E07">
      <w:pPr>
        <w:spacing w:after="240"/>
        <w:rPr>
          <w:rFonts w:ascii="Arial" w:hAnsi="Arial" w:cs="Arial"/>
          <w:sz w:val="24"/>
          <w:szCs w:val="24"/>
        </w:rPr>
      </w:pPr>
      <w:r w:rsidRPr="00DD14E7">
        <w:rPr>
          <w:rFonts w:ascii="Arial" w:hAnsi="Arial" w:cs="Arial"/>
          <w:sz w:val="24"/>
          <w:szCs w:val="24"/>
        </w:rPr>
        <w:t>Subdivision (b) consolidates information regarding the National Provider Identifier (NPI) file which lists pharmacy NPIs eligible for the higher tier dispensing fee. To provide clarity on the schedule of Medi-Cal NPI file updates</w:t>
      </w:r>
      <w:r>
        <w:rPr>
          <w:rFonts w:ascii="Arial" w:hAnsi="Arial" w:cs="Arial"/>
          <w:sz w:val="24"/>
          <w:szCs w:val="24"/>
        </w:rPr>
        <w:t>,</w:t>
      </w:r>
      <w:r w:rsidRPr="00DD14E7">
        <w:rPr>
          <w:rFonts w:ascii="Arial" w:hAnsi="Arial" w:cs="Arial"/>
          <w:sz w:val="24"/>
          <w:szCs w:val="24"/>
        </w:rPr>
        <w:t xml:space="preserve"> the regulations specify that an updated file will be posted on a weekly basis absent extenuating circumstances. To ensure that payers will implement updates promptly the section requires that payers shall begin utilizing the updated file to calculate the dispensing fee for eligible </w:t>
      </w:r>
      <w:r w:rsidR="00AE4DB6">
        <w:rPr>
          <w:rFonts w:ascii="Arial" w:hAnsi="Arial" w:cs="Arial"/>
          <w:sz w:val="24"/>
          <w:szCs w:val="24"/>
        </w:rPr>
        <w:t xml:space="preserve">pharmacy </w:t>
      </w:r>
      <w:r w:rsidRPr="00DD14E7">
        <w:rPr>
          <w:rFonts w:ascii="Arial" w:hAnsi="Arial" w:cs="Arial"/>
          <w:sz w:val="24"/>
          <w:szCs w:val="24"/>
        </w:rPr>
        <w:t xml:space="preserve">providers not later than the second calendar day after posting on the DWC website. In light of potential retroactive changes in the weekly update, or NPI updates during the period between posting of the file and implementation, the proposed regulation specifies that the payer shall re-adjudicate previously paid claims upon submission of a request for second review </w:t>
      </w:r>
      <w:r w:rsidRPr="00DD14E7">
        <w:rPr>
          <w:rFonts w:ascii="Arial" w:hAnsi="Arial" w:cs="Arial"/>
          <w:sz w:val="24"/>
          <w:szCs w:val="24"/>
        </w:rPr>
        <w:lastRenderedPageBreak/>
        <w:t>by the provider. This is necessary to provide clarity on the mechanism to initiate payment of retroactive changes.</w:t>
      </w:r>
    </w:p>
    <w:p w14:paraId="6A1099C8" w14:textId="77777777" w:rsidR="00DD14E7" w:rsidRPr="00DD14E7" w:rsidRDefault="00DD14E7" w:rsidP="00DD14E7">
      <w:pPr>
        <w:rPr>
          <w:rFonts w:ascii="Arial" w:hAnsi="Arial" w:cs="Arial"/>
          <w:sz w:val="24"/>
          <w:szCs w:val="24"/>
        </w:rPr>
      </w:pPr>
      <w:r w:rsidRPr="00DD14E7">
        <w:rPr>
          <w:rFonts w:ascii="Arial" w:hAnsi="Arial" w:cs="Arial"/>
          <w:sz w:val="24"/>
          <w:szCs w:val="24"/>
        </w:rPr>
        <w:t>Authority and reference citations are added to inform the public of the authorizing statutes and the statutes that are implemented by the new section.</w:t>
      </w:r>
    </w:p>
    <w:p w14:paraId="41CAF0ED" w14:textId="77777777" w:rsidR="003E38F2" w:rsidRPr="007638A6" w:rsidRDefault="003E38F2" w:rsidP="007638A6">
      <w:pPr>
        <w:rPr>
          <w:rFonts w:ascii="Arial" w:hAnsi="Arial" w:cs="Arial"/>
          <w:sz w:val="24"/>
          <w:szCs w:val="24"/>
        </w:rPr>
      </w:pPr>
    </w:p>
    <w:p w14:paraId="44ED88AD" w14:textId="62F8D806" w:rsidR="00627C19" w:rsidRPr="0085717F" w:rsidRDefault="00627C19" w:rsidP="00D916B2">
      <w:pPr>
        <w:pStyle w:val="Heading2"/>
      </w:pPr>
      <w:r w:rsidRPr="008F640F">
        <w:t>Section 9789.40.</w:t>
      </w:r>
      <w:r w:rsidR="00257AA6">
        <w:t>2</w:t>
      </w:r>
      <w:r w:rsidR="0067497B" w:rsidRPr="008F640F">
        <w:t>.</w:t>
      </w:r>
      <w:r w:rsidRPr="008F640F">
        <w:t xml:space="preserve"> Pharmaceuticals Dispensed and Pharmaceutical Services Rendered by a Pharmacy on or after </w:t>
      </w:r>
      <w:r w:rsidR="001F1618" w:rsidRPr="008F640F">
        <w:t xml:space="preserve">[Month </w:t>
      </w:r>
      <w:r w:rsidR="00257AA6">
        <w:t>1</w:t>
      </w:r>
      <w:r w:rsidR="005A536C" w:rsidRPr="008F640F">
        <w:t xml:space="preserve">, </w:t>
      </w:r>
      <w:r w:rsidR="00257AA6" w:rsidRPr="008F640F">
        <w:t>202</w:t>
      </w:r>
      <w:r w:rsidR="00257AA6">
        <w:t>5</w:t>
      </w:r>
      <w:r w:rsidR="001F1618" w:rsidRPr="008F640F">
        <w:t>]</w:t>
      </w:r>
      <w:r w:rsidR="005A536C" w:rsidRPr="008F640F">
        <w:t xml:space="preserve"> [</w:t>
      </w:r>
      <w:r w:rsidR="00257AA6">
        <w:t>the first day of the month following: 180</w:t>
      </w:r>
      <w:r w:rsidR="005A536C" w:rsidRPr="008F640F">
        <w:t xml:space="preserve"> days after the amendments are filed with the Secretary of State</w:t>
      </w:r>
      <w:r w:rsidR="001F1618" w:rsidRPr="008F640F">
        <w:t>; d</w:t>
      </w:r>
      <w:r w:rsidR="005A536C" w:rsidRPr="008F640F">
        <w:t>ate to be inserted by OAL]</w:t>
      </w:r>
      <w:r w:rsidR="0067497B" w:rsidRPr="008F640F">
        <w:t>.</w:t>
      </w:r>
    </w:p>
    <w:p w14:paraId="71D7CEB9" w14:textId="4CD7A855" w:rsidR="00257AA6" w:rsidRPr="00257AA6" w:rsidRDefault="00257AA6" w:rsidP="00257AA6">
      <w:pPr>
        <w:spacing w:after="240"/>
        <w:jc w:val="left"/>
        <w:rPr>
          <w:rFonts w:ascii="Arial" w:hAnsi="Arial" w:cs="Arial"/>
          <w:sz w:val="24"/>
        </w:rPr>
      </w:pPr>
      <w:r w:rsidRPr="00257AA6">
        <w:rPr>
          <w:rFonts w:ascii="Arial" w:hAnsi="Arial" w:cs="Arial"/>
          <w:bCs/>
          <w:sz w:val="24"/>
        </w:rPr>
        <w:t xml:space="preserve">This section </w:t>
      </w:r>
      <w:r>
        <w:rPr>
          <w:rFonts w:ascii="Arial" w:hAnsi="Arial" w:cs="Arial"/>
          <w:bCs/>
          <w:sz w:val="24"/>
        </w:rPr>
        <w:t>wa</w:t>
      </w:r>
      <w:r w:rsidRPr="00257AA6">
        <w:rPr>
          <w:rFonts w:ascii="Arial" w:hAnsi="Arial" w:cs="Arial"/>
          <w:bCs/>
          <w:sz w:val="24"/>
        </w:rPr>
        <w:t xml:space="preserve">s renumbered from section 9789.40.1 to 9789.40.2 due to the </w:t>
      </w:r>
      <w:r>
        <w:rPr>
          <w:rFonts w:ascii="Arial" w:hAnsi="Arial" w:cs="Arial"/>
          <w:bCs/>
          <w:sz w:val="24"/>
        </w:rPr>
        <w:t>addition of</w:t>
      </w:r>
      <w:r w:rsidRPr="00257AA6">
        <w:rPr>
          <w:rFonts w:ascii="Arial" w:hAnsi="Arial" w:cs="Arial"/>
          <w:bCs/>
          <w:sz w:val="24"/>
        </w:rPr>
        <w:t xml:space="preserve"> a new section 9789.40.1. The heading </w:t>
      </w:r>
      <w:r>
        <w:rPr>
          <w:rFonts w:ascii="Arial" w:hAnsi="Arial" w:cs="Arial"/>
          <w:bCs/>
          <w:sz w:val="24"/>
        </w:rPr>
        <w:t>wa</w:t>
      </w:r>
      <w:r w:rsidRPr="00257AA6">
        <w:rPr>
          <w:rFonts w:ascii="Arial" w:hAnsi="Arial" w:cs="Arial"/>
          <w:bCs/>
          <w:sz w:val="24"/>
        </w:rPr>
        <w:t xml:space="preserve">s modified </w:t>
      </w:r>
      <w:r w:rsidRPr="00257AA6">
        <w:rPr>
          <w:rFonts w:ascii="Arial" w:hAnsi="Arial" w:cs="Arial"/>
          <w:sz w:val="24"/>
        </w:rPr>
        <w:t>to extend effective date of changes from 90 days to 180 days (specifying the first day of the month following), and to indicate that this will be in the year 2025.</w:t>
      </w:r>
    </w:p>
    <w:p w14:paraId="17AB1D9D" w14:textId="799D8B5F" w:rsidR="00257AA6" w:rsidRPr="00257AA6" w:rsidRDefault="00257AA6" w:rsidP="00257AA6">
      <w:pPr>
        <w:spacing w:after="240"/>
        <w:jc w:val="left"/>
        <w:rPr>
          <w:rFonts w:ascii="Arial" w:hAnsi="Arial" w:cs="Arial"/>
          <w:sz w:val="24"/>
        </w:rPr>
      </w:pPr>
      <w:r w:rsidRPr="00257AA6">
        <w:rPr>
          <w:rFonts w:ascii="Arial" w:hAnsi="Arial" w:cs="Arial"/>
          <w:b/>
          <w:bCs/>
          <w:sz w:val="24"/>
        </w:rPr>
        <w:t>Subdivision (a)</w:t>
      </w:r>
      <w:r w:rsidRPr="00257AA6">
        <w:rPr>
          <w:rFonts w:ascii="Arial" w:hAnsi="Arial" w:cs="Arial"/>
          <w:sz w:val="24"/>
        </w:rPr>
        <w:t xml:space="preserve"> text </w:t>
      </w:r>
      <w:r>
        <w:rPr>
          <w:rFonts w:ascii="Arial" w:hAnsi="Arial" w:cs="Arial"/>
          <w:bCs/>
          <w:sz w:val="24"/>
        </w:rPr>
        <w:t>was modified to make a</w:t>
      </w:r>
      <w:r w:rsidRPr="00257AA6">
        <w:rPr>
          <w:rFonts w:ascii="Arial" w:hAnsi="Arial" w:cs="Arial"/>
          <w:sz w:val="24"/>
        </w:rPr>
        <w:t xml:space="preserve"> grammatical change to specify “a legend or non-legend drug” instead of “legend and non-legend drugs.” To improve clarity the text </w:t>
      </w:r>
      <w:r>
        <w:rPr>
          <w:rFonts w:ascii="Arial" w:hAnsi="Arial" w:cs="Arial"/>
          <w:sz w:val="24"/>
        </w:rPr>
        <w:t xml:space="preserve">was </w:t>
      </w:r>
      <w:r w:rsidRPr="00257AA6">
        <w:rPr>
          <w:rFonts w:ascii="Arial" w:hAnsi="Arial" w:cs="Arial"/>
          <w:sz w:val="24"/>
        </w:rPr>
        <w:t xml:space="preserve">modified </w:t>
      </w:r>
      <w:r>
        <w:rPr>
          <w:rFonts w:ascii="Arial" w:hAnsi="Arial" w:cs="Arial"/>
          <w:sz w:val="24"/>
        </w:rPr>
        <w:t xml:space="preserve">to </w:t>
      </w:r>
      <w:r w:rsidRPr="00257AA6">
        <w:rPr>
          <w:rFonts w:ascii="Arial" w:hAnsi="Arial" w:cs="Arial"/>
          <w:sz w:val="24"/>
        </w:rPr>
        <w:t xml:space="preserve">state that the maximum reasonable fee payable for a legend or non-legend drug “is determined in accordance with this section” instead of “is the rate that is 100% of the payment allowed pursuant to the Medi-Cal payment methodology.” The Medi-Cal methodology </w:t>
      </w:r>
      <w:r>
        <w:rPr>
          <w:rFonts w:ascii="Arial" w:hAnsi="Arial" w:cs="Arial"/>
          <w:sz w:val="24"/>
        </w:rPr>
        <w:t>w</w:t>
      </w:r>
      <w:r w:rsidRPr="00257AA6">
        <w:rPr>
          <w:rFonts w:ascii="Arial" w:hAnsi="Arial" w:cs="Arial"/>
          <w:sz w:val="24"/>
        </w:rPr>
        <w:t>as used to create the “lowest cost” and “no substitution cost” in the Pharmaceutical Fee Data File and this file is to be used for maximum fees so there is uniformity.</w:t>
      </w:r>
      <w:r w:rsidR="007171A1">
        <w:rPr>
          <w:rFonts w:ascii="Arial" w:hAnsi="Arial" w:cs="Arial"/>
          <w:sz w:val="24"/>
        </w:rPr>
        <w:t xml:space="preserve"> Therefore, it was necessary for clarity to specify that the drug ingredient cost is the “lowest cost” as set forth on the Pharmaceutical Fee Data File (unless no substitution criteria were met.)</w:t>
      </w:r>
      <w:r w:rsidRPr="00257AA6">
        <w:rPr>
          <w:rFonts w:ascii="Arial" w:hAnsi="Arial" w:cs="Arial"/>
          <w:sz w:val="24"/>
        </w:rPr>
        <w:t xml:space="preserve"> The “lowest cost” formula is deleted from subdivision (a) since it has been moved to the new section 9789.40.1. The rule related to the “no substitution cost” </w:t>
      </w:r>
      <w:r w:rsidR="007171A1">
        <w:rPr>
          <w:rFonts w:ascii="Arial" w:hAnsi="Arial" w:cs="Arial"/>
          <w:sz w:val="24"/>
        </w:rPr>
        <w:t>wa</w:t>
      </w:r>
      <w:r w:rsidRPr="00257AA6">
        <w:rPr>
          <w:rFonts w:ascii="Arial" w:hAnsi="Arial" w:cs="Arial"/>
          <w:sz w:val="24"/>
        </w:rPr>
        <w:t>s moved from subdivision (b) (which is deleted) to subdivision (a), and the formula is deleted as it is set forth in the new section 9789.40.1. Th</w:t>
      </w:r>
      <w:r>
        <w:rPr>
          <w:rFonts w:ascii="Arial" w:hAnsi="Arial" w:cs="Arial"/>
          <w:sz w:val="24"/>
        </w:rPr>
        <w:t>e changes to the original language were adopted to</w:t>
      </w:r>
      <w:r w:rsidRPr="00257AA6">
        <w:rPr>
          <w:rFonts w:ascii="Arial" w:hAnsi="Arial" w:cs="Arial"/>
          <w:sz w:val="24"/>
        </w:rPr>
        <w:t xml:space="preserve"> streamline the regulation and improve clarity.</w:t>
      </w:r>
    </w:p>
    <w:p w14:paraId="69CFC599" w14:textId="2DAEC490" w:rsidR="00517D7D" w:rsidRDefault="00517D7D" w:rsidP="00517D7D">
      <w:pPr>
        <w:spacing w:after="240"/>
        <w:jc w:val="left"/>
        <w:rPr>
          <w:rFonts w:ascii="Arial" w:hAnsi="Arial" w:cs="Arial"/>
          <w:bCs/>
          <w:sz w:val="24"/>
        </w:rPr>
      </w:pPr>
      <w:r w:rsidRPr="00517D7D">
        <w:rPr>
          <w:rFonts w:ascii="Arial" w:hAnsi="Arial" w:cs="Arial"/>
          <w:b/>
          <w:sz w:val="24"/>
        </w:rPr>
        <w:t>Subdivision (b)</w:t>
      </w:r>
      <w:r w:rsidRPr="00517D7D">
        <w:rPr>
          <w:rFonts w:ascii="Arial" w:hAnsi="Arial" w:cs="Arial"/>
          <w:bCs/>
          <w:sz w:val="24"/>
        </w:rPr>
        <w:t xml:space="preserve"> </w:t>
      </w:r>
      <w:r w:rsidR="007171A1">
        <w:rPr>
          <w:rFonts w:ascii="Arial" w:hAnsi="Arial" w:cs="Arial"/>
          <w:bCs/>
          <w:sz w:val="24"/>
        </w:rPr>
        <w:t xml:space="preserve">as originally proposed </w:t>
      </w:r>
      <w:r w:rsidR="00790BDB">
        <w:rPr>
          <w:rFonts w:ascii="Arial" w:hAnsi="Arial" w:cs="Arial"/>
          <w:bCs/>
          <w:sz w:val="24"/>
        </w:rPr>
        <w:t>was deleted (as described above). Subdivision (b) as adopted sets forth the original dispensing fees based on the Medi-Cal two-tier dispensing fee rates and</w:t>
      </w:r>
      <w:r w:rsidRPr="00517D7D">
        <w:rPr>
          <w:rFonts w:ascii="Arial" w:hAnsi="Arial" w:cs="Arial"/>
          <w:bCs/>
          <w:sz w:val="24"/>
        </w:rPr>
        <w:t xml:space="preserve"> </w:t>
      </w:r>
      <w:r>
        <w:rPr>
          <w:rFonts w:ascii="Arial" w:hAnsi="Arial" w:cs="Arial"/>
          <w:bCs/>
          <w:sz w:val="24"/>
        </w:rPr>
        <w:t>was re</w:t>
      </w:r>
      <w:r w:rsidRPr="00517D7D">
        <w:rPr>
          <w:rFonts w:ascii="Arial" w:hAnsi="Arial" w:cs="Arial"/>
          <w:bCs/>
          <w:sz w:val="24"/>
        </w:rPr>
        <w:t>number</w:t>
      </w:r>
      <w:r>
        <w:rPr>
          <w:rFonts w:ascii="Arial" w:hAnsi="Arial" w:cs="Arial"/>
          <w:bCs/>
          <w:sz w:val="24"/>
        </w:rPr>
        <w:t>ed</w:t>
      </w:r>
      <w:r w:rsidRPr="00517D7D">
        <w:rPr>
          <w:rFonts w:ascii="Arial" w:hAnsi="Arial" w:cs="Arial"/>
          <w:bCs/>
          <w:sz w:val="24"/>
        </w:rPr>
        <w:t xml:space="preserve"> </w:t>
      </w:r>
      <w:r>
        <w:rPr>
          <w:rFonts w:ascii="Arial" w:hAnsi="Arial" w:cs="Arial"/>
          <w:bCs/>
          <w:sz w:val="24"/>
        </w:rPr>
        <w:t>to</w:t>
      </w:r>
      <w:r w:rsidRPr="00517D7D">
        <w:rPr>
          <w:rFonts w:ascii="Arial" w:hAnsi="Arial" w:cs="Arial"/>
          <w:bCs/>
          <w:sz w:val="24"/>
        </w:rPr>
        <w:t xml:space="preserve"> (a)(2) to</w:t>
      </w:r>
      <w:r>
        <w:rPr>
          <w:rFonts w:ascii="Arial" w:hAnsi="Arial" w:cs="Arial"/>
          <w:bCs/>
          <w:sz w:val="24"/>
        </w:rPr>
        <w:t xml:space="preserve"> conform to the reorganization of the section</w:t>
      </w:r>
      <w:r w:rsidR="00790BDB">
        <w:rPr>
          <w:rFonts w:ascii="Arial" w:hAnsi="Arial" w:cs="Arial"/>
          <w:bCs/>
          <w:sz w:val="24"/>
        </w:rPr>
        <w:t>.</w:t>
      </w:r>
      <w:r>
        <w:rPr>
          <w:rFonts w:ascii="Arial" w:hAnsi="Arial" w:cs="Arial"/>
          <w:bCs/>
          <w:sz w:val="24"/>
        </w:rPr>
        <w:t xml:space="preserve"> </w:t>
      </w:r>
      <w:r w:rsidR="00790BDB">
        <w:rPr>
          <w:rFonts w:ascii="Arial" w:hAnsi="Arial" w:cs="Arial"/>
          <w:bCs/>
          <w:sz w:val="24"/>
        </w:rPr>
        <w:t xml:space="preserve"> Substantively, the two-tier dispensing fee structure is unchanged, and is required to conform to the provisions of Labor Code section 5307.1(a), which specifies in pertinent part that for the pharmaceutical fee schedule “</w:t>
      </w:r>
      <w:r w:rsidR="00790BDB" w:rsidRPr="00790BDB">
        <w:rPr>
          <w:rFonts w:ascii="Arial" w:hAnsi="Arial" w:cs="Arial"/>
          <w:bCs/>
          <w:sz w:val="24"/>
        </w:rPr>
        <w:t xml:space="preserve">all fees shall be in accordance with the fee-related structure and rules of the relevant </w:t>
      </w:r>
      <w:r w:rsidR="00790BDB">
        <w:rPr>
          <w:rFonts w:ascii="Arial" w:hAnsi="Arial" w:cs="Arial"/>
          <w:bCs/>
          <w:sz w:val="24"/>
        </w:rPr>
        <w:t>…</w:t>
      </w:r>
      <w:r w:rsidR="00790BDB" w:rsidRPr="00790BDB">
        <w:rPr>
          <w:rFonts w:ascii="Arial" w:hAnsi="Arial" w:cs="Arial"/>
          <w:bCs/>
          <w:sz w:val="24"/>
        </w:rPr>
        <w:t xml:space="preserve"> Medi-Cal payment system</w:t>
      </w:r>
      <w:r w:rsidR="00790BDB">
        <w:rPr>
          <w:rFonts w:ascii="Arial" w:hAnsi="Arial" w:cs="Arial"/>
          <w:bCs/>
          <w:sz w:val="24"/>
        </w:rPr>
        <w:t>.”</w:t>
      </w:r>
    </w:p>
    <w:p w14:paraId="273351AC" w14:textId="4DB75BEC" w:rsidR="00A6168E" w:rsidRPr="00A6168E" w:rsidRDefault="00A6168E" w:rsidP="00A6168E">
      <w:pPr>
        <w:spacing w:after="240"/>
        <w:jc w:val="left"/>
        <w:rPr>
          <w:rFonts w:ascii="Arial" w:hAnsi="Arial" w:cs="Arial"/>
          <w:bCs/>
          <w:sz w:val="24"/>
        </w:rPr>
      </w:pPr>
      <w:r w:rsidRPr="00A6168E">
        <w:rPr>
          <w:rFonts w:ascii="Arial" w:hAnsi="Arial" w:cs="Arial"/>
          <w:b/>
          <w:bCs/>
          <w:sz w:val="24"/>
        </w:rPr>
        <w:t>Subdivision (c)</w:t>
      </w:r>
      <w:r>
        <w:rPr>
          <w:rFonts w:ascii="Arial" w:hAnsi="Arial" w:cs="Arial"/>
          <w:b/>
          <w:bCs/>
          <w:sz w:val="24"/>
        </w:rPr>
        <w:t>(1)(A)</w:t>
      </w:r>
      <w:r w:rsidRPr="00A6168E">
        <w:rPr>
          <w:rFonts w:ascii="Arial" w:hAnsi="Arial" w:cs="Arial"/>
          <w:bCs/>
          <w:sz w:val="24"/>
        </w:rPr>
        <w:t xml:space="preserve"> renumbers reference to “subdivision (a) or (b)” to “subdivision (a)(1) or (a)(2)</w:t>
      </w:r>
      <w:r w:rsidR="00E3541A">
        <w:rPr>
          <w:rFonts w:ascii="Arial" w:hAnsi="Arial" w:cs="Arial"/>
          <w:bCs/>
          <w:sz w:val="24"/>
        </w:rPr>
        <w:t>”</w:t>
      </w:r>
      <w:r w:rsidRPr="00A6168E">
        <w:rPr>
          <w:rFonts w:ascii="Arial" w:hAnsi="Arial" w:cs="Arial"/>
          <w:bCs/>
          <w:sz w:val="24"/>
        </w:rPr>
        <w:t xml:space="preserve"> to conform to the renumbering within th</w:t>
      </w:r>
      <w:r>
        <w:rPr>
          <w:rFonts w:ascii="Arial" w:hAnsi="Arial" w:cs="Arial"/>
          <w:bCs/>
          <w:sz w:val="24"/>
        </w:rPr>
        <w:t>e</w:t>
      </w:r>
      <w:r w:rsidRPr="00A6168E">
        <w:rPr>
          <w:rFonts w:ascii="Arial" w:hAnsi="Arial" w:cs="Arial"/>
          <w:bCs/>
          <w:sz w:val="24"/>
        </w:rPr>
        <w:t xml:space="preserve"> section.</w:t>
      </w:r>
    </w:p>
    <w:p w14:paraId="3E679BDF" w14:textId="44D523D0" w:rsidR="00A6168E" w:rsidRPr="00A6168E" w:rsidRDefault="00A6168E" w:rsidP="00A6168E">
      <w:pPr>
        <w:spacing w:after="240"/>
        <w:jc w:val="left"/>
        <w:rPr>
          <w:rFonts w:ascii="Arial" w:hAnsi="Arial" w:cs="Arial"/>
          <w:bCs/>
          <w:sz w:val="24"/>
        </w:rPr>
      </w:pPr>
      <w:r w:rsidRPr="00A6168E">
        <w:rPr>
          <w:rFonts w:ascii="Arial" w:hAnsi="Arial" w:cs="Arial"/>
          <w:b/>
          <w:bCs/>
          <w:sz w:val="24"/>
        </w:rPr>
        <w:t>Subdivision (c)</w:t>
      </w:r>
      <w:r>
        <w:rPr>
          <w:rFonts w:ascii="Arial" w:hAnsi="Arial" w:cs="Arial"/>
          <w:b/>
          <w:bCs/>
          <w:sz w:val="24"/>
        </w:rPr>
        <w:t>(2)(A)</w:t>
      </w:r>
      <w:r w:rsidRPr="00A6168E">
        <w:rPr>
          <w:rFonts w:ascii="Arial" w:hAnsi="Arial" w:cs="Arial"/>
          <w:bCs/>
          <w:sz w:val="24"/>
        </w:rPr>
        <w:t xml:space="preserve"> </w:t>
      </w:r>
      <w:r>
        <w:rPr>
          <w:rFonts w:ascii="Arial" w:hAnsi="Arial" w:cs="Arial"/>
          <w:bCs/>
          <w:sz w:val="24"/>
        </w:rPr>
        <w:t xml:space="preserve">was modified for clarity regarding </w:t>
      </w:r>
      <w:r w:rsidRPr="00A6168E">
        <w:rPr>
          <w:rFonts w:ascii="Arial" w:hAnsi="Arial" w:cs="Arial"/>
          <w:bCs/>
          <w:sz w:val="24"/>
        </w:rPr>
        <w:t>the formula for a pharmacy dispensed repackaged drug</w:t>
      </w:r>
      <w:r>
        <w:rPr>
          <w:rFonts w:ascii="Arial" w:hAnsi="Arial" w:cs="Arial"/>
          <w:bCs/>
          <w:sz w:val="24"/>
        </w:rPr>
        <w:t>.</w:t>
      </w:r>
      <w:r w:rsidRPr="00A6168E">
        <w:rPr>
          <w:rFonts w:ascii="Arial" w:hAnsi="Arial" w:cs="Arial"/>
          <w:bCs/>
          <w:sz w:val="24"/>
        </w:rPr>
        <w:t xml:space="preserve"> If the underlying drug product is not in the Pharmaceutical Fee Data File, the regulation sets the maximum drug ingredient </w:t>
      </w:r>
      <w:r w:rsidRPr="00A6168E">
        <w:rPr>
          <w:rFonts w:ascii="Arial" w:hAnsi="Arial" w:cs="Arial"/>
          <w:bCs/>
          <w:sz w:val="24"/>
        </w:rPr>
        <w:lastRenderedPageBreak/>
        <w:t>cost as the lowest priced therapeutically equivalent drug calculated pursuant to subdivision (a)</w:t>
      </w:r>
      <w:r>
        <w:rPr>
          <w:rFonts w:ascii="Arial" w:hAnsi="Arial" w:cs="Arial"/>
          <w:bCs/>
          <w:sz w:val="24"/>
        </w:rPr>
        <w:t>(1)</w:t>
      </w:r>
      <w:r w:rsidRPr="00A6168E">
        <w:rPr>
          <w:rFonts w:ascii="Arial" w:hAnsi="Arial" w:cs="Arial"/>
          <w:bCs/>
          <w:sz w:val="24"/>
        </w:rPr>
        <w:t xml:space="preserve">. The text of subparagraph (c)(2)(A) </w:t>
      </w:r>
      <w:r>
        <w:rPr>
          <w:rFonts w:ascii="Arial" w:hAnsi="Arial" w:cs="Arial"/>
          <w:bCs/>
          <w:sz w:val="24"/>
        </w:rPr>
        <w:t>wa</w:t>
      </w:r>
      <w:r w:rsidRPr="00A6168E">
        <w:rPr>
          <w:rFonts w:ascii="Arial" w:hAnsi="Arial" w:cs="Arial"/>
          <w:bCs/>
          <w:sz w:val="24"/>
        </w:rPr>
        <w:t xml:space="preserve">s modified to specify that where the underlying NDC is not in the file the maximum drug ingredient cost is the lowest priced therapeutically equivalent drug calculated pursuant to “subdivision (a)(1)” rather than “subdivision (a).” It </w:t>
      </w:r>
      <w:r>
        <w:rPr>
          <w:rFonts w:ascii="Arial" w:hAnsi="Arial" w:cs="Arial"/>
          <w:bCs/>
          <w:sz w:val="24"/>
        </w:rPr>
        <w:t>was</w:t>
      </w:r>
      <w:r w:rsidRPr="00A6168E">
        <w:rPr>
          <w:rFonts w:ascii="Arial" w:hAnsi="Arial" w:cs="Arial"/>
          <w:bCs/>
          <w:sz w:val="24"/>
        </w:rPr>
        <w:t xml:space="preserve"> necessary to </w:t>
      </w:r>
      <w:r>
        <w:rPr>
          <w:rFonts w:ascii="Arial" w:hAnsi="Arial" w:cs="Arial"/>
          <w:bCs/>
          <w:sz w:val="24"/>
        </w:rPr>
        <w:t xml:space="preserve">modify the original proposal in order to </w:t>
      </w:r>
      <w:r w:rsidRPr="00A6168E">
        <w:rPr>
          <w:rFonts w:ascii="Arial" w:hAnsi="Arial" w:cs="Arial"/>
          <w:bCs/>
          <w:sz w:val="24"/>
        </w:rPr>
        <w:t>specify the subdivision subparagraph (a)(1) which is the “lowest cost” to avoid an erroneous interpretation that the “no substitution cost” in subparagraph (a)(2) would be applicable. In the rare circumstance that the underlying drug product is not in the Pharmaceutical Fee Data File, the appropriate maximum is the “lowest cost” therapeutically equivalent drug which does appear in the file as this would most closely align with what Medi-Cal would pay for a drug that uses comparable resources.</w:t>
      </w:r>
    </w:p>
    <w:p w14:paraId="1ED7100D" w14:textId="5FA00B90" w:rsidR="00152E98" w:rsidRPr="00152E98" w:rsidRDefault="00152E98" w:rsidP="00152E98">
      <w:pPr>
        <w:spacing w:after="240"/>
        <w:jc w:val="left"/>
        <w:rPr>
          <w:rFonts w:ascii="Arial" w:hAnsi="Arial" w:cs="Arial"/>
          <w:bCs/>
          <w:sz w:val="24"/>
        </w:rPr>
      </w:pPr>
      <w:r w:rsidRPr="00152E98">
        <w:rPr>
          <w:rFonts w:ascii="Arial" w:hAnsi="Arial" w:cs="Arial"/>
          <w:b/>
          <w:sz w:val="24"/>
        </w:rPr>
        <w:t>Subdivision (d)</w:t>
      </w:r>
      <w:r w:rsidRPr="00152E98">
        <w:rPr>
          <w:rFonts w:ascii="Arial" w:hAnsi="Arial" w:cs="Arial"/>
          <w:bCs/>
          <w:sz w:val="24"/>
        </w:rPr>
        <w:t xml:space="preserve"> relating to the Pharmaceutical Data File and NPI file </w:t>
      </w:r>
      <w:r>
        <w:rPr>
          <w:rFonts w:ascii="Arial" w:hAnsi="Arial" w:cs="Arial"/>
          <w:bCs/>
          <w:sz w:val="24"/>
        </w:rPr>
        <w:t>wa</w:t>
      </w:r>
      <w:r w:rsidRPr="00152E98">
        <w:rPr>
          <w:rFonts w:ascii="Arial" w:hAnsi="Arial" w:cs="Arial"/>
          <w:bCs/>
          <w:sz w:val="24"/>
        </w:rPr>
        <w:t xml:space="preserve">s deleted </w:t>
      </w:r>
      <w:r>
        <w:rPr>
          <w:rFonts w:ascii="Arial" w:hAnsi="Arial" w:cs="Arial"/>
          <w:bCs/>
          <w:sz w:val="24"/>
        </w:rPr>
        <w:t xml:space="preserve">for clarity and to avoid duplication </w:t>
      </w:r>
      <w:r w:rsidRPr="00152E98">
        <w:rPr>
          <w:rFonts w:ascii="Arial" w:hAnsi="Arial" w:cs="Arial"/>
          <w:bCs/>
          <w:sz w:val="24"/>
        </w:rPr>
        <w:t xml:space="preserve">since the provisions </w:t>
      </w:r>
      <w:r>
        <w:rPr>
          <w:rFonts w:ascii="Arial" w:hAnsi="Arial" w:cs="Arial"/>
          <w:bCs/>
          <w:sz w:val="24"/>
        </w:rPr>
        <w:t>we</w:t>
      </w:r>
      <w:r w:rsidRPr="00152E98">
        <w:rPr>
          <w:rFonts w:ascii="Arial" w:hAnsi="Arial" w:cs="Arial"/>
          <w:bCs/>
          <w:sz w:val="24"/>
        </w:rPr>
        <w:t>re moved and consolidated in the newly proposed section 9789.40.1.</w:t>
      </w:r>
    </w:p>
    <w:p w14:paraId="2C883CDA" w14:textId="379D45F6" w:rsidR="009D1356" w:rsidRPr="0085717F" w:rsidRDefault="009D1356" w:rsidP="00D916B2">
      <w:pPr>
        <w:pStyle w:val="Heading2"/>
      </w:pPr>
      <w:r w:rsidRPr="0085717F">
        <w:t>Section 9789.40.</w:t>
      </w:r>
      <w:r w:rsidR="00AD5D84">
        <w:t>3</w:t>
      </w:r>
      <w:r w:rsidR="0067497B">
        <w:t>.</w:t>
      </w:r>
      <w:r w:rsidRPr="0085717F">
        <w:t xml:space="preserve"> Compounded Pharmaceuticals Dispensed </w:t>
      </w:r>
      <w:proofErr w:type="gramStart"/>
      <w:r w:rsidR="00DB605C" w:rsidRPr="0085717F">
        <w:t>B</w:t>
      </w:r>
      <w:r w:rsidR="002C52DA" w:rsidRPr="0085717F">
        <w:t>y</w:t>
      </w:r>
      <w:proofErr w:type="gramEnd"/>
      <w:r w:rsidR="002C52DA" w:rsidRPr="0085717F">
        <w:t xml:space="preserve"> a Pharmacy </w:t>
      </w:r>
      <w:r w:rsidRPr="0085717F">
        <w:t xml:space="preserve">on or after </w:t>
      </w:r>
      <w:r w:rsidR="00DE7391" w:rsidRPr="0085717F">
        <w:t xml:space="preserve">[Month </w:t>
      </w:r>
      <w:r w:rsidR="00AD5D84">
        <w:t>1</w:t>
      </w:r>
      <w:r w:rsidR="00DE7391" w:rsidRPr="0085717F">
        <w:t>,</w:t>
      </w:r>
      <w:r w:rsidR="00B01AB8" w:rsidRPr="0085717F">
        <w:t xml:space="preserve"> </w:t>
      </w:r>
      <w:r w:rsidR="00AD5D84" w:rsidRPr="0085717F">
        <w:t>202</w:t>
      </w:r>
      <w:r w:rsidR="00AD5D84">
        <w:t>5</w:t>
      </w:r>
      <w:r w:rsidR="00DE7391" w:rsidRPr="0085717F">
        <w:t>]</w:t>
      </w:r>
      <w:r w:rsidR="008E04B0" w:rsidRPr="0085717F">
        <w:t xml:space="preserve"> </w:t>
      </w:r>
      <w:r w:rsidR="00B01AB8" w:rsidRPr="0085717F">
        <w:t>[</w:t>
      </w:r>
      <w:r w:rsidR="00AD5D84">
        <w:t>the first day of the month following</w:t>
      </w:r>
      <w:r w:rsidR="00E3541A">
        <w:t>:</w:t>
      </w:r>
      <w:r w:rsidR="00AD5D84">
        <w:t xml:space="preserve"> 180</w:t>
      </w:r>
      <w:r w:rsidR="00B01AB8" w:rsidRPr="0085717F">
        <w:t xml:space="preserve"> days after the amendments are filed with the Secretary of State.  Date to be inserted by OAL]</w:t>
      </w:r>
      <w:r w:rsidR="0067497B">
        <w:t>.</w:t>
      </w:r>
    </w:p>
    <w:p w14:paraId="25F25EDE" w14:textId="6C1CA822" w:rsidR="00AD5D84" w:rsidRPr="00AD5D84" w:rsidRDefault="00AD5D84" w:rsidP="00AD5D84">
      <w:pPr>
        <w:spacing w:after="240"/>
        <w:jc w:val="left"/>
        <w:rPr>
          <w:rFonts w:ascii="Arial" w:hAnsi="Arial" w:cs="Arial"/>
          <w:sz w:val="24"/>
        </w:rPr>
      </w:pPr>
      <w:r w:rsidRPr="00AD5D84">
        <w:rPr>
          <w:rFonts w:ascii="Arial" w:hAnsi="Arial" w:cs="Arial"/>
          <w:bCs/>
          <w:sz w:val="24"/>
        </w:rPr>
        <w:t xml:space="preserve">This section </w:t>
      </w:r>
      <w:r>
        <w:rPr>
          <w:rFonts w:ascii="Arial" w:hAnsi="Arial" w:cs="Arial"/>
          <w:bCs/>
          <w:sz w:val="24"/>
        </w:rPr>
        <w:t>wa</w:t>
      </w:r>
      <w:r w:rsidRPr="00AD5D84">
        <w:rPr>
          <w:rFonts w:ascii="Arial" w:hAnsi="Arial" w:cs="Arial"/>
          <w:bCs/>
          <w:sz w:val="24"/>
        </w:rPr>
        <w:t xml:space="preserve">s renumbered from section 9789.40.2 to 9789.40.3. The heading </w:t>
      </w:r>
      <w:r>
        <w:rPr>
          <w:rFonts w:ascii="Arial" w:hAnsi="Arial" w:cs="Arial"/>
          <w:bCs/>
          <w:sz w:val="24"/>
        </w:rPr>
        <w:t>wa</w:t>
      </w:r>
      <w:r w:rsidRPr="00AD5D84">
        <w:rPr>
          <w:rFonts w:ascii="Arial" w:hAnsi="Arial" w:cs="Arial"/>
          <w:bCs/>
          <w:sz w:val="24"/>
        </w:rPr>
        <w:t xml:space="preserve">s modified </w:t>
      </w:r>
      <w:r w:rsidRPr="00AD5D84">
        <w:rPr>
          <w:rFonts w:ascii="Arial" w:hAnsi="Arial" w:cs="Arial"/>
          <w:sz w:val="24"/>
        </w:rPr>
        <w:t>to extend effective date of changes from 90 days to 180 days (specifying the first day of the month following), and to indicate that this will be in the year 2025.</w:t>
      </w:r>
    </w:p>
    <w:p w14:paraId="2F6F016A" w14:textId="6E01B8F1" w:rsidR="00AD5D84" w:rsidRDefault="00AD5D84" w:rsidP="00957C06">
      <w:pPr>
        <w:spacing w:after="240"/>
        <w:jc w:val="left"/>
        <w:rPr>
          <w:rFonts w:ascii="Arial" w:hAnsi="Arial" w:cs="Arial"/>
          <w:sz w:val="24"/>
        </w:rPr>
      </w:pPr>
      <w:r w:rsidRPr="00AD5D84">
        <w:rPr>
          <w:rFonts w:ascii="Arial" w:hAnsi="Arial" w:cs="Arial"/>
          <w:b/>
          <w:bCs/>
          <w:sz w:val="24"/>
        </w:rPr>
        <w:t>Subdivision (a)</w:t>
      </w:r>
      <w:r w:rsidRPr="00AD5D84">
        <w:rPr>
          <w:rFonts w:ascii="Arial" w:hAnsi="Arial" w:cs="Arial"/>
          <w:sz w:val="24"/>
        </w:rPr>
        <w:t xml:space="preserve"> states that the maximum fee for a pharmacy dispensed compounded drug is 100% of payment allowed by Medi-Cal payment methodology for compounded drugs, except as provided in specified subdivisions. The language </w:t>
      </w:r>
      <w:r>
        <w:rPr>
          <w:rFonts w:ascii="Arial" w:hAnsi="Arial" w:cs="Arial"/>
          <w:sz w:val="24"/>
        </w:rPr>
        <w:t>wa</w:t>
      </w:r>
      <w:r w:rsidRPr="00AD5D84">
        <w:rPr>
          <w:rFonts w:ascii="Arial" w:hAnsi="Arial" w:cs="Arial"/>
          <w:sz w:val="24"/>
        </w:rPr>
        <w:t xml:space="preserve">s modified to reference subdivision (c)(1) instead of subdivision (c)(2), which </w:t>
      </w:r>
      <w:r>
        <w:rPr>
          <w:rFonts w:ascii="Arial" w:hAnsi="Arial" w:cs="Arial"/>
          <w:sz w:val="24"/>
        </w:rPr>
        <w:t>wa</w:t>
      </w:r>
      <w:r w:rsidRPr="00AD5D84">
        <w:rPr>
          <w:rFonts w:ascii="Arial" w:hAnsi="Arial" w:cs="Arial"/>
          <w:sz w:val="24"/>
        </w:rPr>
        <w:t>s necessary due to the modifications and reorganization of the section. The listing of (c)(1) as an “exception” to Medi-Cal is needed because Medi-Cal does not pay for compounded drugs using bulk active pharmaceutical ingredients; 100% of the Medi-Cal allowed amount would be zero. Since workers’ compensation does pay for bulk active pharmaceutical ingredients in a compounded drug, (c)(1) which sets forth the formula for the maximum drug ingredient cost, without distinguishing the status of the product as finished or unfinished, is listed as an exception.</w:t>
      </w:r>
    </w:p>
    <w:p w14:paraId="0EC63A08" w14:textId="76E19481" w:rsidR="00EC7D23" w:rsidRPr="00EC7D23" w:rsidRDefault="00EC7D23" w:rsidP="00EC7D23">
      <w:pPr>
        <w:spacing w:after="240"/>
        <w:jc w:val="left"/>
        <w:rPr>
          <w:rFonts w:ascii="Arial" w:hAnsi="Arial" w:cs="Arial"/>
          <w:sz w:val="24"/>
        </w:rPr>
      </w:pPr>
      <w:r w:rsidRPr="00575668">
        <w:rPr>
          <w:rFonts w:ascii="Arial" w:hAnsi="Arial" w:cs="Arial"/>
          <w:b/>
          <w:bCs/>
          <w:sz w:val="24"/>
        </w:rPr>
        <w:t>Subdivision (c)</w:t>
      </w:r>
      <w:r w:rsidRPr="00575668">
        <w:rPr>
          <w:rFonts w:ascii="Arial" w:hAnsi="Arial" w:cs="Arial"/>
          <w:sz w:val="24"/>
        </w:rPr>
        <w:t xml:space="preserve"> </w:t>
      </w:r>
      <w:r w:rsidRPr="00EC7D23">
        <w:rPr>
          <w:rFonts w:ascii="Arial" w:hAnsi="Arial" w:cs="Arial"/>
          <w:sz w:val="24"/>
        </w:rPr>
        <w:t xml:space="preserve">which defines the drug ingredient cost for a compounded drug dispensed by a pharmacy initially proposed to adopt different formulas for a finished drug product (subdivision (c)(1)) and an unfinished drug product (subdivision (c)(2).) Upon evaluation of comments received relating to the complexity of distinguishing finished and unfinished drug products, and in light of the Labor Code statutory provisions, the </w:t>
      </w:r>
      <w:r>
        <w:rPr>
          <w:rFonts w:ascii="Arial" w:hAnsi="Arial" w:cs="Arial"/>
          <w:sz w:val="24"/>
        </w:rPr>
        <w:t>adopted regulation was</w:t>
      </w:r>
      <w:r w:rsidRPr="00EC7D23">
        <w:rPr>
          <w:rFonts w:ascii="Arial" w:hAnsi="Arial" w:cs="Arial"/>
          <w:sz w:val="24"/>
        </w:rPr>
        <w:t xml:space="preserve"> modified</w:t>
      </w:r>
      <w:r>
        <w:rPr>
          <w:rFonts w:ascii="Arial" w:hAnsi="Arial" w:cs="Arial"/>
          <w:sz w:val="24"/>
        </w:rPr>
        <w:t xml:space="preserve"> from the original proposal</w:t>
      </w:r>
      <w:r w:rsidRPr="00EC7D23">
        <w:rPr>
          <w:rFonts w:ascii="Arial" w:hAnsi="Arial" w:cs="Arial"/>
          <w:sz w:val="24"/>
        </w:rPr>
        <w:t>.</w:t>
      </w:r>
    </w:p>
    <w:p w14:paraId="65ACEF3D" w14:textId="21E221E0" w:rsidR="00EC7D23" w:rsidRPr="00EC7D23" w:rsidRDefault="00EC7D23" w:rsidP="00EC7D23">
      <w:pPr>
        <w:spacing w:after="240"/>
        <w:jc w:val="left"/>
        <w:rPr>
          <w:rFonts w:ascii="Arial" w:hAnsi="Arial" w:cs="Arial"/>
          <w:sz w:val="24"/>
        </w:rPr>
      </w:pPr>
      <w:r w:rsidRPr="00EC7D23">
        <w:rPr>
          <w:rFonts w:ascii="Arial" w:hAnsi="Arial" w:cs="Arial"/>
          <w:sz w:val="24"/>
        </w:rPr>
        <w:lastRenderedPageBreak/>
        <w:t xml:space="preserve">In the original proposed text, the drug ingredient cost for a finished drug product was determined according to the formula for non-compounded drugs, i.e. lowest cost, or no substitution cost if applicable to a brand name product. For an unfinished drug product used in a compound, the formula was based upon the documented paid cost of the unfinished drug product plus 10%. The </w:t>
      </w:r>
      <w:r>
        <w:rPr>
          <w:rFonts w:ascii="Arial" w:hAnsi="Arial" w:cs="Arial"/>
          <w:sz w:val="24"/>
        </w:rPr>
        <w:t xml:space="preserve">adopted </w:t>
      </w:r>
      <w:r w:rsidRPr="00EC7D23">
        <w:rPr>
          <w:rFonts w:ascii="Arial" w:hAnsi="Arial" w:cs="Arial"/>
          <w:sz w:val="24"/>
        </w:rPr>
        <w:t>subdivision</w:t>
      </w:r>
      <w:r>
        <w:rPr>
          <w:rFonts w:ascii="Arial" w:hAnsi="Arial" w:cs="Arial"/>
          <w:sz w:val="24"/>
        </w:rPr>
        <w:t xml:space="preserve"> (c) was</w:t>
      </w:r>
      <w:r w:rsidRPr="00EC7D23">
        <w:rPr>
          <w:rFonts w:ascii="Arial" w:hAnsi="Arial" w:cs="Arial"/>
          <w:sz w:val="24"/>
        </w:rPr>
        <w:t xml:space="preserve"> modified to provide that the drug ingredient cost means the “lowest cost” or “no substitution cost” for each drug product NDC pursuant to section 9789.40.2, subdivision (a)(1) (“lowest cost”) or subdivision (a)(2) (“no substitution cost”.) The distinction between finished drug product and unfinished drug product </w:t>
      </w:r>
      <w:r>
        <w:rPr>
          <w:rFonts w:ascii="Arial" w:hAnsi="Arial" w:cs="Arial"/>
          <w:sz w:val="24"/>
        </w:rPr>
        <w:t>wa</w:t>
      </w:r>
      <w:r w:rsidRPr="00EC7D23">
        <w:rPr>
          <w:rFonts w:ascii="Arial" w:hAnsi="Arial" w:cs="Arial"/>
          <w:sz w:val="24"/>
        </w:rPr>
        <w:t>s eliminated.</w:t>
      </w:r>
    </w:p>
    <w:p w14:paraId="3662E90D" w14:textId="7771DC3A" w:rsidR="00EC7D23" w:rsidRPr="00EC7D23" w:rsidRDefault="00EC7D23" w:rsidP="00EC7D23">
      <w:pPr>
        <w:spacing w:after="240"/>
        <w:jc w:val="left"/>
        <w:rPr>
          <w:rFonts w:ascii="Arial" w:hAnsi="Arial" w:cs="Arial"/>
          <w:sz w:val="24"/>
        </w:rPr>
      </w:pPr>
      <w:r w:rsidRPr="00EC7D23">
        <w:rPr>
          <w:rFonts w:ascii="Arial" w:hAnsi="Arial" w:cs="Arial"/>
          <w:sz w:val="24"/>
        </w:rPr>
        <w:t xml:space="preserve">This </w:t>
      </w:r>
      <w:r>
        <w:rPr>
          <w:rFonts w:ascii="Arial" w:hAnsi="Arial" w:cs="Arial"/>
          <w:sz w:val="24"/>
        </w:rPr>
        <w:t>adopted regulation</w:t>
      </w:r>
      <w:r w:rsidRPr="00EC7D23">
        <w:rPr>
          <w:rFonts w:ascii="Arial" w:hAnsi="Arial" w:cs="Arial"/>
          <w:sz w:val="24"/>
        </w:rPr>
        <w:t xml:space="preserve"> will result in the finished drug products being priced at the lowest cost, or no substitution cost for a brand name drug where the applicable prerequisites are met, and will result in the unfinished drug products being priced at the “lowest cost” as the brand name concept will not apply. </w:t>
      </w:r>
      <w:r>
        <w:rPr>
          <w:rFonts w:ascii="Arial" w:hAnsi="Arial" w:cs="Arial"/>
          <w:sz w:val="24"/>
        </w:rPr>
        <w:t xml:space="preserve">Upon review of comments received and reevaluation of the issues, DWC determined that the adopted provisions </w:t>
      </w:r>
      <w:r w:rsidRPr="00EC7D23">
        <w:rPr>
          <w:rFonts w:ascii="Arial" w:hAnsi="Arial" w:cs="Arial"/>
          <w:sz w:val="24"/>
        </w:rPr>
        <w:t xml:space="preserve">will align most closely with the Medi-Cal drug ingredient fee methodology for dispensed drugs (lowest of: NADAC or WAC +0% if NADAC does not exist, FUL, MAIC.) Labor Code section 5307.1, subdivision (d) states in relevant part: “If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 Although Medi-Cal does not pay for dispensed compounded drugs utilizing </w:t>
      </w:r>
      <w:r w:rsidRPr="00EC7D23">
        <w:rPr>
          <w:rFonts w:ascii="Arial" w:hAnsi="Arial" w:cs="Arial"/>
          <w:i/>
          <w:iCs/>
          <w:sz w:val="24"/>
        </w:rPr>
        <w:t>bulk active pharmaceutical ingredients</w:t>
      </w:r>
      <w:r w:rsidRPr="00EC7D23">
        <w:rPr>
          <w:rFonts w:ascii="Arial" w:hAnsi="Arial" w:cs="Arial"/>
          <w:sz w:val="24"/>
        </w:rPr>
        <w:t xml:space="preserve">, it does pay for compounded drugs utilizing finished FDA-approved drugs and does pay for a limited number of bulk drug products that are not active pharmaceutical ingredients, for example excipients (such as flavoring agents, sterile water, etc.) used in the compound. The </w:t>
      </w:r>
      <w:r>
        <w:rPr>
          <w:rFonts w:ascii="Arial" w:hAnsi="Arial" w:cs="Arial"/>
          <w:sz w:val="24"/>
        </w:rPr>
        <w:t xml:space="preserve">adopted regulation </w:t>
      </w:r>
      <w:r w:rsidRPr="00EC7D23">
        <w:rPr>
          <w:rFonts w:ascii="Arial" w:hAnsi="Arial" w:cs="Arial"/>
          <w:sz w:val="24"/>
        </w:rPr>
        <w:t xml:space="preserve">which </w:t>
      </w:r>
      <w:r>
        <w:rPr>
          <w:rFonts w:ascii="Arial" w:hAnsi="Arial" w:cs="Arial"/>
          <w:sz w:val="24"/>
        </w:rPr>
        <w:t xml:space="preserve">will result in </w:t>
      </w:r>
      <w:r w:rsidRPr="00EC7D23">
        <w:rPr>
          <w:rFonts w:ascii="Arial" w:hAnsi="Arial" w:cs="Arial"/>
          <w:sz w:val="24"/>
        </w:rPr>
        <w:t>use</w:t>
      </w:r>
      <w:r>
        <w:rPr>
          <w:rFonts w:ascii="Arial" w:hAnsi="Arial" w:cs="Arial"/>
          <w:sz w:val="24"/>
        </w:rPr>
        <w:t xml:space="preserve"> of</w:t>
      </w:r>
      <w:r w:rsidRPr="00EC7D23">
        <w:rPr>
          <w:rFonts w:ascii="Arial" w:hAnsi="Arial" w:cs="Arial"/>
          <w:sz w:val="24"/>
        </w:rPr>
        <w:t xml:space="preserve"> the “lowest cost” formula for the unfinished compound drug ingredient products not covered by Medi-Cal most closely aligns with what Medi-Cal would pay for drugs that use comparable resources. In addition, utilizing the same formula for the finished and unfinished compounded drug ingredients will streamline the billing and payment process.</w:t>
      </w:r>
    </w:p>
    <w:p w14:paraId="0B937529" w14:textId="19E522BE" w:rsidR="00EC7D23" w:rsidRPr="00EC7D23" w:rsidRDefault="00EC7D23" w:rsidP="00EC7D23">
      <w:pPr>
        <w:spacing w:after="240"/>
        <w:jc w:val="left"/>
        <w:rPr>
          <w:rFonts w:ascii="Arial" w:hAnsi="Arial" w:cs="Arial"/>
          <w:bCs/>
          <w:sz w:val="24"/>
        </w:rPr>
      </w:pPr>
      <w:r w:rsidRPr="00EC7D23">
        <w:rPr>
          <w:rFonts w:ascii="Arial" w:hAnsi="Arial" w:cs="Arial"/>
          <w:sz w:val="24"/>
        </w:rPr>
        <w:t xml:space="preserve">The Pharmaceutical Fee Data File </w:t>
      </w:r>
      <w:r>
        <w:rPr>
          <w:rFonts w:ascii="Arial" w:hAnsi="Arial" w:cs="Arial"/>
          <w:sz w:val="24"/>
        </w:rPr>
        <w:t xml:space="preserve">structure </w:t>
      </w:r>
      <w:r w:rsidRPr="00EC7D23">
        <w:rPr>
          <w:rFonts w:ascii="Arial" w:hAnsi="Arial" w:cs="Arial"/>
          <w:sz w:val="24"/>
        </w:rPr>
        <w:t xml:space="preserve">is modified to add the NDCs of unfinished drug bulk pharmaceutical ingredients, which provides fees in alignment with the structure of the regulation. A sample revised Pharmaceutical Fee Data File </w:t>
      </w:r>
      <w:r>
        <w:rPr>
          <w:rFonts w:ascii="Arial" w:hAnsi="Arial" w:cs="Arial"/>
          <w:sz w:val="24"/>
        </w:rPr>
        <w:t>wa</w:t>
      </w:r>
      <w:r w:rsidRPr="00EC7D23">
        <w:rPr>
          <w:rFonts w:ascii="Arial" w:hAnsi="Arial" w:cs="Arial"/>
          <w:sz w:val="24"/>
        </w:rPr>
        <w:t xml:space="preserve">s included in the rulemaking file and </w:t>
      </w:r>
      <w:r>
        <w:rPr>
          <w:rFonts w:ascii="Arial" w:hAnsi="Arial" w:cs="Arial"/>
          <w:sz w:val="24"/>
        </w:rPr>
        <w:t xml:space="preserve">was </w:t>
      </w:r>
      <w:r w:rsidRPr="00EC7D23">
        <w:rPr>
          <w:rFonts w:ascii="Arial" w:hAnsi="Arial" w:cs="Arial"/>
          <w:sz w:val="24"/>
        </w:rPr>
        <w:t>available for public comment.</w:t>
      </w:r>
    </w:p>
    <w:p w14:paraId="0DB4B47B" w14:textId="4F5BF5DA" w:rsidR="00575668" w:rsidRDefault="00575668" w:rsidP="00575668">
      <w:pPr>
        <w:spacing w:after="240"/>
        <w:jc w:val="left"/>
        <w:rPr>
          <w:rFonts w:ascii="Arial" w:hAnsi="Arial" w:cs="Arial"/>
          <w:sz w:val="24"/>
        </w:rPr>
      </w:pPr>
      <w:r w:rsidRPr="00575668">
        <w:rPr>
          <w:rFonts w:ascii="Arial" w:hAnsi="Arial" w:cs="Arial"/>
          <w:b/>
          <w:bCs/>
          <w:sz w:val="24"/>
        </w:rPr>
        <w:t>Subdivision (c)</w:t>
      </w:r>
      <w:r w:rsidRPr="00575668">
        <w:rPr>
          <w:rFonts w:ascii="Arial" w:hAnsi="Arial" w:cs="Arial"/>
          <w:sz w:val="24"/>
        </w:rPr>
        <w:t xml:space="preserve"> was </w:t>
      </w:r>
      <w:r>
        <w:rPr>
          <w:rFonts w:ascii="Arial" w:hAnsi="Arial" w:cs="Arial"/>
          <w:sz w:val="24"/>
        </w:rPr>
        <w:t xml:space="preserve">also </w:t>
      </w:r>
      <w:r w:rsidRPr="00575668">
        <w:rPr>
          <w:rFonts w:ascii="Arial" w:hAnsi="Arial" w:cs="Arial"/>
          <w:sz w:val="24"/>
        </w:rPr>
        <w:t>modified to delete the “lowest cost” formula since it has been moved to the new section 9789.40.1. Instead, the section provides that the “drug ingredient cost” for a compounded drug is determined pursuant to section 9789.40.2 subdivision (a)(1)</w:t>
      </w:r>
      <w:r w:rsidRPr="00D30C28">
        <w:rPr>
          <w:rFonts w:ascii="Arial" w:hAnsi="Arial" w:cs="Arial"/>
          <w:sz w:val="24"/>
        </w:rPr>
        <w:t xml:space="preserve"> (“lowest cost”)</w:t>
      </w:r>
      <w:r w:rsidRPr="00575668">
        <w:rPr>
          <w:rFonts w:ascii="Arial" w:hAnsi="Arial" w:cs="Arial"/>
          <w:sz w:val="24"/>
        </w:rPr>
        <w:t xml:space="preserve"> or (a)(2)</w:t>
      </w:r>
      <w:r w:rsidRPr="00D30C28">
        <w:rPr>
          <w:rFonts w:ascii="Arial" w:hAnsi="Arial" w:cs="Arial"/>
          <w:sz w:val="24"/>
        </w:rPr>
        <w:t xml:space="preserve"> (“no substitution cost</w:t>
      </w:r>
      <w:r w:rsidRPr="00575668">
        <w:rPr>
          <w:rFonts w:ascii="Arial" w:hAnsi="Arial" w:cs="Arial"/>
          <w:sz w:val="24"/>
        </w:rPr>
        <w:t>.</w:t>
      </w:r>
      <w:r w:rsidRPr="00D30C28">
        <w:rPr>
          <w:rFonts w:ascii="Arial" w:hAnsi="Arial" w:cs="Arial"/>
          <w:sz w:val="24"/>
        </w:rPr>
        <w:t>”</w:t>
      </w:r>
      <w:r w:rsidR="00707384">
        <w:rPr>
          <w:rFonts w:ascii="Arial" w:hAnsi="Arial" w:cs="Arial"/>
          <w:sz w:val="24"/>
        </w:rPr>
        <w:t>)</w:t>
      </w:r>
      <w:r w:rsidRPr="00575668">
        <w:rPr>
          <w:rFonts w:ascii="Arial" w:hAnsi="Arial" w:cs="Arial"/>
          <w:sz w:val="24"/>
        </w:rPr>
        <w:t xml:space="preserve"> This </w:t>
      </w:r>
      <w:r w:rsidRPr="00D30C28">
        <w:rPr>
          <w:rFonts w:ascii="Arial" w:hAnsi="Arial" w:cs="Arial"/>
          <w:sz w:val="24"/>
        </w:rPr>
        <w:t>wa</w:t>
      </w:r>
      <w:r w:rsidRPr="00575668">
        <w:rPr>
          <w:rFonts w:ascii="Arial" w:hAnsi="Arial" w:cs="Arial"/>
          <w:sz w:val="24"/>
        </w:rPr>
        <w:t xml:space="preserve">s </w:t>
      </w:r>
      <w:r w:rsidRPr="00D30C28">
        <w:rPr>
          <w:rFonts w:ascii="Arial" w:hAnsi="Arial" w:cs="Arial"/>
          <w:sz w:val="24"/>
        </w:rPr>
        <w:t>adopted</w:t>
      </w:r>
      <w:r w:rsidRPr="00575668">
        <w:rPr>
          <w:rFonts w:ascii="Arial" w:hAnsi="Arial" w:cs="Arial"/>
          <w:sz w:val="24"/>
        </w:rPr>
        <w:t xml:space="preserve"> for clarity and for consistency of the compounded drug fee with the usual rule applicable to a simple prescription, i.e. (a)(1) lowest cost, or (a)(2) no </w:t>
      </w:r>
      <w:r w:rsidRPr="00575668">
        <w:rPr>
          <w:rFonts w:ascii="Arial" w:hAnsi="Arial" w:cs="Arial"/>
          <w:sz w:val="24"/>
        </w:rPr>
        <w:lastRenderedPageBreak/>
        <w:t xml:space="preserve">substitution cost if the Dispense as Written provisions are met. Where the brand name drug is medically necessary as documented by the prescriber, a compounded version should be available where </w:t>
      </w:r>
      <w:r w:rsidRPr="00D30C28">
        <w:rPr>
          <w:rFonts w:ascii="Arial" w:hAnsi="Arial" w:cs="Arial"/>
          <w:sz w:val="24"/>
        </w:rPr>
        <w:t>there is a medical requirement</w:t>
      </w:r>
      <w:r w:rsidRPr="00575668">
        <w:rPr>
          <w:rFonts w:ascii="Arial" w:hAnsi="Arial" w:cs="Arial"/>
          <w:sz w:val="24"/>
        </w:rPr>
        <w:t>, for example for a patient that needs a liquid rather than a tablet or capsule.</w:t>
      </w:r>
    </w:p>
    <w:p w14:paraId="3D26DA0A" w14:textId="296A780D" w:rsidR="00453C68" w:rsidRPr="00453C68" w:rsidRDefault="00453C68" w:rsidP="00453C68">
      <w:pPr>
        <w:spacing w:after="240"/>
        <w:jc w:val="left"/>
        <w:rPr>
          <w:rFonts w:ascii="Arial" w:hAnsi="Arial" w:cs="Arial"/>
          <w:sz w:val="24"/>
        </w:rPr>
      </w:pPr>
      <w:r w:rsidRPr="00453C68">
        <w:rPr>
          <w:rFonts w:ascii="Arial" w:hAnsi="Arial" w:cs="Arial"/>
          <w:b/>
          <w:bCs/>
          <w:sz w:val="24"/>
        </w:rPr>
        <w:t>Subdivision (e)</w:t>
      </w:r>
      <w:r w:rsidRPr="00453C68">
        <w:rPr>
          <w:rFonts w:ascii="Arial" w:hAnsi="Arial" w:cs="Arial"/>
          <w:sz w:val="24"/>
        </w:rPr>
        <w:t xml:space="preserve"> “Compounding and sterility fees” definition cross-reference </w:t>
      </w:r>
      <w:r>
        <w:rPr>
          <w:rFonts w:ascii="Arial" w:hAnsi="Arial" w:cs="Arial"/>
          <w:sz w:val="24"/>
        </w:rPr>
        <w:t>was</w:t>
      </w:r>
      <w:r w:rsidRPr="00453C68">
        <w:rPr>
          <w:rFonts w:ascii="Arial" w:hAnsi="Arial" w:cs="Arial"/>
          <w:sz w:val="24"/>
        </w:rPr>
        <w:t xml:space="preserve"> modified from section 9789.40.3 to section 9789.40.4. This </w:t>
      </w:r>
      <w:r>
        <w:rPr>
          <w:rFonts w:ascii="Arial" w:hAnsi="Arial" w:cs="Arial"/>
          <w:sz w:val="24"/>
        </w:rPr>
        <w:t>wa</w:t>
      </w:r>
      <w:r w:rsidRPr="00453C68">
        <w:rPr>
          <w:rFonts w:ascii="Arial" w:hAnsi="Arial" w:cs="Arial"/>
          <w:sz w:val="24"/>
        </w:rPr>
        <w:t>s necessary to make a correction to the cross-reference which was inadvertently overlooked when a new section 9789.40.1 was added, resulting in the renumbering of section 9789.40.3.</w:t>
      </w:r>
    </w:p>
    <w:p w14:paraId="16879717" w14:textId="79280064" w:rsidR="00453C68" w:rsidRPr="00453C68" w:rsidRDefault="00453C68" w:rsidP="00453C68">
      <w:pPr>
        <w:spacing w:after="240"/>
        <w:jc w:val="left"/>
        <w:rPr>
          <w:rFonts w:ascii="Arial" w:hAnsi="Arial" w:cs="Arial"/>
          <w:b/>
          <w:bCs/>
          <w:sz w:val="24"/>
        </w:rPr>
      </w:pPr>
      <w:r w:rsidRPr="00453C68">
        <w:rPr>
          <w:rFonts w:ascii="Arial" w:hAnsi="Arial" w:cs="Arial"/>
          <w:b/>
          <w:bCs/>
          <w:sz w:val="24"/>
        </w:rPr>
        <w:t>Subdivision (f)</w:t>
      </w:r>
      <w:r w:rsidRPr="00453C68">
        <w:rPr>
          <w:rFonts w:ascii="Arial" w:hAnsi="Arial" w:cs="Arial"/>
          <w:sz w:val="24"/>
        </w:rPr>
        <w:t xml:space="preserve"> which defined “documented paid cost” </w:t>
      </w:r>
      <w:r>
        <w:rPr>
          <w:rFonts w:ascii="Arial" w:hAnsi="Arial" w:cs="Arial"/>
          <w:sz w:val="24"/>
        </w:rPr>
        <w:t>wa</w:t>
      </w:r>
      <w:r w:rsidRPr="00453C68">
        <w:rPr>
          <w:rFonts w:ascii="Arial" w:hAnsi="Arial" w:cs="Arial"/>
          <w:sz w:val="24"/>
        </w:rPr>
        <w:t>s deleted as it is no longer used in this section.</w:t>
      </w:r>
    </w:p>
    <w:p w14:paraId="6ABBFE95" w14:textId="7EC61ACD" w:rsidR="00453C68" w:rsidRPr="00453C68" w:rsidRDefault="00453C68" w:rsidP="00453C68">
      <w:pPr>
        <w:spacing w:after="240"/>
        <w:jc w:val="left"/>
        <w:rPr>
          <w:rFonts w:ascii="Arial" w:hAnsi="Arial" w:cs="Arial"/>
          <w:sz w:val="24"/>
        </w:rPr>
      </w:pPr>
      <w:r w:rsidRPr="00453C68">
        <w:rPr>
          <w:rFonts w:ascii="Arial" w:hAnsi="Arial" w:cs="Arial"/>
          <w:b/>
          <w:bCs/>
          <w:sz w:val="24"/>
        </w:rPr>
        <w:t>Subdivision (g)</w:t>
      </w:r>
      <w:r w:rsidRPr="00453C68">
        <w:rPr>
          <w:rFonts w:ascii="Arial" w:hAnsi="Arial" w:cs="Arial"/>
          <w:sz w:val="24"/>
        </w:rPr>
        <w:t xml:space="preserve"> </w:t>
      </w:r>
      <w:r>
        <w:rPr>
          <w:rFonts w:ascii="Arial" w:hAnsi="Arial" w:cs="Arial"/>
          <w:sz w:val="24"/>
        </w:rPr>
        <w:t>wa</w:t>
      </w:r>
      <w:r w:rsidRPr="00453C68">
        <w:rPr>
          <w:rFonts w:ascii="Arial" w:hAnsi="Arial" w:cs="Arial"/>
          <w:sz w:val="24"/>
        </w:rPr>
        <w:t>s redesignated as (f) due to the deletion of the prior (f).</w:t>
      </w:r>
    </w:p>
    <w:p w14:paraId="38429015" w14:textId="11269EB3" w:rsidR="006130A9" w:rsidRPr="0085717F" w:rsidRDefault="006130A9" w:rsidP="00D916B2">
      <w:pPr>
        <w:pStyle w:val="Heading2"/>
      </w:pPr>
      <w:r w:rsidRPr="006D73B5">
        <w:t>Section 9789.40.</w:t>
      </w:r>
      <w:r w:rsidR="00453C68" w:rsidRPr="006D73B5">
        <w:t>4</w:t>
      </w:r>
      <w:r w:rsidR="0067497B" w:rsidRPr="006D73B5">
        <w:t>.</w:t>
      </w:r>
      <w:r w:rsidRPr="006D73B5">
        <w:t xml:space="preserve"> Compounding Fee and Sterility Fee</w:t>
      </w:r>
      <w:r w:rsidR="00453C68" w:rsidRPr="006D73B5">
        <w:t xml:space="preserve"> for Pharmacy Dispensed or Physician Dispensed Compounded Drugs</w:t>
      </w:r>
      <w:r w:rsidRPr="006D73B5">
        <w:t xml:space="preserve">: Route of Administration Compounding Fee / Sterility Fee Table; Dosage Form Compounding Fee Table; </w:t>
      </w:r>
      <w:r w:rsidR="002C2CE1" w:rsidRPr="006D73B5">
        <w:t>Compounded Drugs</w:t>
      </w:r>
      <w:r w:rsidR="00453C68" w:rsidRPr="006D73B5">
        <w:t xml:space="preserve"> Dispensed</w:t>
      </w:r>
      <w:r w:rsidR="002C2CE1" w:rsidRPr="006D73B5">
        <w:t xml:space="preserve"> </w:t>
      </w:r>
      <w:r w:rsidRPr="006D73B5">
        <w:t xml:space="preserve">on or after </w:t>
      </w:r>
      <w:r w:rsidRPr="006D73B5">
        <w:rPr>
          <w:iCs/>
        </w:rPr>
        <w:t xml:space="preserve">[Month </w:t>
      </w:r>
      <w:r w:rsidR="00453C68" w:rsidRPr="006D73B5">
        <w:rPr>
          <w:iCs/>
        </w:rPr>
        <w:t>1</w:t>
      </w:r>
      <w:r w:rsidRPr="006D73B5">
        <w:rPr>
          <w:iCs/>
        </w:rPr>
        <w:t xml:space="preserve">, </w:t>
      </w:r>
      <w:r w:rsidR="00453C68" w:rsidRPr="006D73B5">
        <w:rPr>
          <w:iCs/>
        </w:rPr>
        <w:t>2025</w:t>
      </w:r>
      <w:r w:rsidRPr="006D73B5">
        <w:rPr>
          <w:iCs/>
        </w:rPr>
        <w:t>]</w:t>
      </w:r>
      <w:r w:rsidRPr="006D73B5">
        <w:t xml:space="preserve"> [</w:t>
      </w:r>
      <w:r w:rsidR="00453C68" w:rsidRPr="006D73B5">
        <w:t>the first day of the month following</w:t>
      </w:r>
      <w:r w:rsidR="00707384">
        <w:t>:</w:t>
      </w:r>
      <w:r w:rsidR="00453C68" w:rsidRPr="006D73B5">
        <w:t xml:space="preserve"> 180</w:t>
      </w:r>
      <w:r w:rsidRPr="006D73B5">
        <w:t xml:space="preserve"> days after the amendments are filed with the Secretary of State; date to be inserted by OAL].</w:t>
      </w:r>
    </w:p>
    <w:p w14:paraId="185F59CE" w14:textId="7DE32C23" w:rsidR="00F73071" w:rsidRPr="00F73071" w:rsidRDefault="00F73071" w:rsidP="00F73071">
      <w:pPr>
        <w:spacing w:after="240"/>
        <w:jc w:val="left"/>
        <w:rPr>
          <w:rFonts w:ascii="Arial" w:hAnsi="Arial" w:cs="Arial"/>
          <w:sz w:val="24"/>
        </w:rPr>
      </w:pPr>
      <w:r w:rsidRPr="00F73071">
        <w:rPr>
          <w:rFonts w:ascii="Arial" w:hAnsi="Arial" w:cs="Arial"/>
          <w:bCs/>
          <w:sz w:val="24"/>
        </w:rPr>
        <w:t xml:space="preserve">This section </w:t>
      </w:r>
      <w:r>
        <w:rPr>
          <w:rFonts w:ascii="Arial" w:hAnsi="Arial" w:cs="Arial"/>
          <w:bCs/>
          <w:sz w:val="24"/>
        </w:rPr>
        <w:t>wa</w:t>
      </w:r>
      <w:r w:rsidRPr="00F73071">
        <w:rPr>
          <w:rFonts w:ascii="Arial" w:hAnsi="Arial" w:cs="Arial"/>
          <w:bCs/>
          <w:sz w:val="24"/>
        </w:rPr>
        <w:t xml:space="preserve">s renumbered from section 9789.40.3 to 9789.40.4. In order to provide adequate time for implementation, the heading </w:t>
      </w:r>
      <w:r>
        <w:rPr>
          <w:rFonts w:ascii="Arial" w:hAnsi="Arial" w:cs="Arial"/>
          <w:bCs/>
          <w:sz w:val="24"/>
        </w:rPr>
        <w:t>wa</w:t>
      </w:r>
      <w:r w:rsidRPr="00F73071">
        <w:rPr>
          <w:rFonts w:ascii="Arial" w:hAnsi="Arial" w:cs="Arial"/>
          <w:bCs/>
          <w:sz w:val="24"/>
        </w:rPr>
        <w:t xml:space="preserve">s modified </w:t>
      </w:r>
      <w:r w:rsidRPr="00F73071">
        <w:rPr>
          <w:rFonts w:ascii="Arial" w:hAnsi="Arial" w:cs="Arial"/>
          <w:sz w:val="24"/>
        </w:rPr>
        <w:t xml:space="preserve">to extend the effective date of changes from 90 days to 180 days (specifying the first day of the month following), and to indicate that this will be in the year 2025. The heading </w:t>
      </w:r>
      <w:r>
        <w:rPr>
          <w:rFonts w:ascii="Arial" w:hAnsi="Arial" w:cs="Arial"/>
          <w:sz w:val="24"/>
        </w:rPr>
        <w:t>wa</w:t>
      </w:r>
      <w:r w:rsidRPr="00F73071">
        <w:rPr>
          <w:rFonts w:ascii="Arial" w:hAnsi="Arial" w:cs="Arial"/>
          <w:sz w:val="24"/>
        </w:rPr>
        <w:t>s also modified to include reference to “Physician Dispensed” and to reorganize for clarity.</w:t>
      </w:r>
      <w:r>
        <w:rPr>
          <w:rFonts w:ascii="Arial" w:hAnsi="Arial" w:cs="Arial"/>
          <w:sz w:val="24"/>
        </w:rPr>
        <w:t xml:space="preserve"> As set forth </w:t>
      </w:r>
      <w:r w:rsidRPr="00B70EF4">
        <w:rPr>
          <w:rFonts w:ascii="Arial" w:hAnsi="Arial" w:cs="Arial"/>
          <w:sz w:val="24"/>
        </w:rPr>
        <w:t>b</w:t>
      </w:r>
      <w:r w:rsidR="00B70EF4" w:rsidRPr="00B70EF4">
        <w:rPr>
          <w:rFonts w:ascii="Arial" w:hAnsi="Arial" w:cs="Arial"/>
          <w:sz w:val="24"/>
        </w:rPr>
        <w:t xml:space="preserve">elow, upon review of comments submitted and reevaluation it was determined </w:t>
      </w:r>
      <w:r w:rsidR="00B70EF4">
        <w:rPr>
          <w:rFonts w:ascii="Arial" w:hAnsi="Arial" w:cs="Arial"/>
          <w:sz w:val="24"/>
        </w:rPr>
        <w:t xml:space="preserve">appropriate </w:t>
      </w:r>
      <w:r w:rsidR="00B70EF4" w:rsidRPr="00B70EF4">
        <w:rPr>
          <w:rFonts w:ascii="Arial" w:hAnsi="Arial" w:cs="Arial"/>
          <w:sz w:val="24"/>
        </w:rPr>
        <w:t xml:space="preserve">to reinstate the physician dispensing fee, and the compounding and sterility fee. </w:t>
      </w:r>
      <w:r w:rsidRPr="00B70EF4">
        <w:rPr>
          <w:rFonts w:ascii="Arial" w:hAnsi="Arial" w:cs="Arial"/>
          <w:sz w:val="24"/>
        </w:rPr>
        <w:t>The</w:t>
      </w:r>
      <w:r>
        <w:rPr>
          <w:rFonts w:ascii="Arial" w:hAnsi="Arial" w:cs="Arial"/>
          <w:sz w:val="24"/>
        </w:rPr>
        <w:t xml:space="preserve"> adopted regulation was modified from the original proposal </w:t>
      </w:r>
      <w:r w:rsidR="00B70EF4">
        <w:rPr>
          <w:rFonts w:ascii="Arial" w:hAnsi="Arial" w:cs="Arial"/>
          <w:sz w:val="24"/>
        </w:rPr>
        <w:t>a</w:t>
      </w:r>
      <w:r w:rsidRPr="00F73071">
        <w:rPr>
          <w:rFonts w:ascii="Arial" w:hAnsi="Arial" w:cs="Arial"/>
          <w:sz w:val="24"/>
        </w:rPr>
        <w:t>s necessary to inform the public of the expanded applicability of the section.</w:t>
      </w:r>
    </w:p>
    <w:p w14:paraId="3BE0E20E" w14:textId="2E81438A" w:rsidR="00B70EF4" w:rsidRPr="00B70EF4" w:rsidRDefault="00B70EF4" w:rsidP="00B70EF4">
      <w:pPr>
        <w:spacing w:after="240"/>
        <w:jc w:val="left"/>
        <w:rPr>
          <w:rFonts w:ascii="Arial" w:hAnsi="Arial" w:cs="Arial"/>
          <w:b/>
          <w:bCs/>
          <w:sz w:val="24"/>
        </w:rPr>
      </w:pPr>
      <w:r w:rsidRPr="00B70EF4">
        <w:rPr>
          <w:rFonts w:ascii="Arial" w:hAnsi="Arial" w:cs="Arial"/>
          <w:b/>
          <w:sz w:val="24"/>
        </w:rPr>
        <w:t>Subdivision (a)</w:t>
      </w:r>
      <w:r w:rsidRPr="00B70EF4">
        <w:rPr>
          <w:rFonts w:ascii="Arial" w:hAnsi="Arial" w:cs="Arial"/>
          <w:b/>
          <w:bCs/>
          <w:sz w:val="24"/>
        </w:rPr>
        <w:t xml:space="preserve"> </w:t>
      </w:r>
      <w:r w:rsidRPr="006D73B5">
        <w:rPr>
          <w:rFonts w:ascii="Arial" w:hAnsi="Arial" w:cs="Arial"/>
          <w:sz w:val="24"/>
        </w:rPr>
        <w:t>was modified by deletion of the word “either” to improve clarity and avoid ambiguity. The word “either” may erroneously disrupt the logical relation between (1) the Route of Administration Compounding Fee / Sterility Fee Table and (2) the Dosage Form Compounding Fee Table.</w:t>
      </w:r>
    </w:p>
    <w:p w14:paraId="1D04E883" w14:textId="0DCBB563" w:rsidR="00F73071" w:rsidRPr="00F73071" w:rsidRDefault="00F73071" w:rsidP="00F73071">
      <w:pPr>
        <w:spacing w:after="240"/>
        <w:jc w:val="left"/>
        <w:rPr>
          <w:rFonts w:ascii="Arial" w:hAnsi="Arial" w:cs="Arial"/>
          <w:bCs/>
          <w:sz w:val="24"/>
        </w:rPr>
      </w:pPr>
      <w:r w:rsidRPr="00F73071">
        <w:rPr>
          <w:rFonts w:ascii="Arial" w:hAnsi="Arial" w:cs="Arial"/>
          <w:bCs/>
          <w:sz w:val="24"/>
        </w:rPr>
        <w:t xml:space="preserve">In addition, the language </w:t>
      </w:r>
      <w:r w:rsidR="00B70EF4">
        <w:rPr>
          <w:rFonts w:ascii="Arial" w:hAnsi="Arial" w:cs="Arial"/>
          <w:bCs/>
          <w:sz w:val="24"/>
        </w:rPr>
        <w:t>wa</w:t>
      </w:r>
      <w:r w:rsidRPr="00F73071">
        <w:rPr>
          <w:rFonts w:ascii="Arial" w:hAnsi="Arial" w:cs="Arial"/>
          <w:bCs/>
          <w:sz w:val="24"/>
        </w:rPr>
        <w:t xml:space="preserve">s modified to add reference to the regulation section 9789.40.7(a)(2) which </w:t>
      </w:r>
      <w:r w:rsidR="00096C9F">
        <w:rPr>
          <w:rFonts w:ascii="Arial" w:hAnsi="Arial" w:cs="Arial"/>
          <w:bCs/>
          <w:sz w:val="24"/>
        </w:rPr>
        <w:t>was</w:t>
      </w:r>
      <w:r w:rsidRPr="00F73071">
        <w:rPr>
          <w:rFonts w:ascii="Arial" w:hAnsi="Arial" w:cs="Arial"/>
          <w:bCs/>
          <w:sz w:val="24"/>
        </w:rPr>
        <w:t xml:space="preserve"> revised to allow physicians to receive a dispensing fee, compounding fee, and sterility fee as applicable. The DWC considered the contention that physician dispensed medications warrant a dispensing fee. Medi-Cal does not pay a physician to dispense medications, and therefore also does not pay physicians a dispensing fee.  Changes made to Labor Code section 5307.1 indicate that the legislature was concerned about inappropriate dispensing by physicians and created additional rules to govern reimbursement </w:t>
      </w:r>
      <w:r w:rsidRPr="00F73071">
        <w:rPr>
          <w:rFonts w:ascii="Arial" w:hAnsi="Arial" w:cs="Arial"/>
          <w:bCs/>
          <w:sz w:val="24"/>
        </w:rPr>
        <w:lastRenderedPageBreak/>
        <w:t>for physician dispensed medication, such as the cap of “300% of documented paid cost, not to exceed $20 above documented paid cost” in subdivision (e)(2). DWC has considered the advantages and disadvantages of physician dispensing / compounding / sterility fees in light of the Business and Professions Code section 4170 that allows a physician to dispense to their own patient for a condition they are treating if the specified requirements are met. Labor Code section 5307.1, subdivisions (e)(7) and (e)(8) provide the DWC Administrative Director with additional authority to adopt fee schedule rules specific to physician dispensing. Given this authority, and controls on inappropriate prescribing that address potential abuse (e.g. utilization review, prospective authorization formulary rule, etc.)</w:t>
      </w:r>
      <w:r w:rsidR="00AA15ED">
        <w:rPr>
          <w:rFonts w:ascii="Arial" w:hAnsi="Arial" w:cs="Arial"/>
          <w:bCs/>
          <w:sz w:val="24"/>
        </w:rPr>
        <w:t>, and potential increased medication access for injured workers,</w:t>
      </w:r>
      <w:r w:rsidRPr="00F73071">
        <w:rPr>
          <w:rFonts w:ascii="Arial" w:hAnsi="Arial" w:cs="Arial"/>
          <w:bCs/>
          <w:sz w:val="24"/>
        </w:rPr>
        <w:t xml:space="preserve"> the DWC has determined that dispensing, compounding and sterility fees should be considered in calculating the maximum allowed fee for physician dispensed compounded drugs.</w:t>
      </w:r>
    </w:p>
    <w:p w14:paraId="6058B7AA" w14:textId="2A4B041D" w:rsidR="00F73071" w:rsidRPr="00F73071" w:rsidRDefault="00F73071" w:rsidP="00F73071">
      <w:pPr>
        <w:spacing w:after="240"/>
        <w:jc w:val="left"/>
        <w:rPr>
          <w:rFonts w:ascii="Arial" w:hAnsi="Arial" w:cs="Arial"/>
          <w:bCs/>
          <w:sz w:val="24"/>
        </w:rPr>
      </w:pPr>
      <w:r w:rsidRPr="00F73071">
        <w:rPr>
          <w:rFonts w:ascii="Arial" w:hAnsi="Arial" w:cs="Arial"/>
          <w:b/>
          <w:sz w:val="24"/>
        </w:rPr>
        <w:t>Subdivision (b)</w:t>
      </w:r>
      <w:r w:rsidRPr="00F73071">
        <w:rPr>
          <w:rFonts w:ascii="Arial" w:hAnsi="Arial" w:cs="Arial"/>
          <w:bCs/>
          <w:sz w:val="24"/>
        </w:rPr>
        <w:t xml:space="preserve">: the provisions stating that a Sterility Fee is only allowed when sterility testing is performed, and requiring records of the sterility testing to be maintained, </w:t>
      </w:r>
      <w:r w:rsidR="00AA15ED">
        <w:rPr>
          <w:rFonts w:ascii="Arial" w:hAnsi="Arial" w:cs="Arial"/>
          <w:bCs/>
          <w:sz w:val="24"/>
        </w:rPr>
        <w:t>was</w:t>
      </w:r>
      <w:r w:rsidRPr="00F73071">
        <w:rPr>
          <w:rFonts w:ascii="Arial" w:hAnsi="Arial" w:cs="Arial"/>
          <w:bCs/>
          <w:sz w:val="24"/>
        </w:rPr>
        <w:t xml:space="preserve"> modified to include applicability to a physician. It </w:t>
      </w:r>
      <w:r w:rsidR="00AA15ED">
        <w:rPr>
          <w:rFonts w:ascii="Arial" w:hAnsi="Arial" w:cs="Arial"/>
          <w:bCs/>
          <w:sz w:val="24"/>
        </w:rPr>
        <w:t>was</w:t>
      </w:r>
      <w:r w:rsidRPr="00F73071">
        <w:rPr>
          <w:rFonts w:ascii="Arial" w:hAnsi="Arial" w:cs="Arial"/>
          <w:bCs/>
          <w:sz w:val="24"/>
        </w:rPr>
        <w:t xml:space="preserve"> necessary to expand the language by including reference to “physician” in order to coordinate with the revisions to section 9789.40.7 governing the formula for calculation of fees for physician compounding.</w:t>
      </w:r>
    </w:p>
    <w:p w14:paraId="468AD8F0" w14:textId="3EA755EE" w:rsidR="00F73071" w:rsidRPr="00F73071" w:rsidRDefault="00F73071" w:rsidP="00F73071">
      <w:pPr>
        <w:spacing w:after="240"/>
        <w:jc w:val="left"/>
        <w:rPr>
          <w:rFonts w:ascii="Arial" w:hAnsi="Arial" w:cs="Arial"/>
          <w:bCs/>
          <w:sz w:val="24"/>
        </w:rPr>
      </w:pPr>
      <w:r w:rsidRPr="00F73071">
        <w:rPr>
          <w:rFonts w:ascii="Arial" w:hAnsi="Arial" w:cs="Arial"/>
          <w:b/>
          <w:sz w:val="24"/>
        </w:rPr>
        <w:t>Subdivision (c)</w:t>
      </w:r>
      <w:r w:rsidRPr="00F73071">
        <w:rPr>
          <w:rFonts w:ascii="Arial" w:hAnsi="Arial" w:cs="Arial"/>
          <w:bCs/>
          <w:sz w:val="24"/>
        </w:rPr>
        <w:t xml:space="preserve"> provisions are expanded to encompass both pharmacies and physicians, specifying that the maximum pharmacy dispensing fee per allowed container is determined in accordance with section 9789.40.3 for pharmacies. It </w:t>
      </w:r>
      <w:r w:rsidR="00AA15ED">
        <w:rPr>
          <w:rFonts w:ascii="Arial" w:hAnsi="Arial" w:cs="Arial"/>
          <w:bCs/>
          <w:sz w:val="24"/>
        </w:rPr>
        <w:t>wa</w:t>
      </w:r>
      <w:r w:rsidRPr="00F73071">
        <w:rPr>
          <w:rFonts w:ascii="Arial" w:hAnsi="Arial" w:cs="Arial"/>
          <w:bCs/>
          <w:sz w:val="24"/>
        </w:rPr>
        <w:t xml:space="preserve">s necessary to change the cross reference from section 9789.40.2 to 9789.40.3 to conform to numbering changes. </w:t>
      </w:r>
    </w:p>
    <w:p w14:paraId="57B14368" w14:textId="0AF3B910" w:rsidR="00F73071" w:rsidRPr="00F73071" w:rsidRDefault="00F73071" w:rsidP="00F73071">
      <w:pPr>
        <w:spacing w:after="240"/>
        <w:jc w:val="left"/>
        <w:rPr>
          <w:rFonts w:ascii="Arial" w:hAnsi="Arial" w:cs="Arial"/>
          <w:bCs/>
          <w:sz w:val="24"/>
        </w:rPr>
      </w:pPr>
      <w:r w:rsidRPr="00F73071">
        <w:rPr>
          <w:rFonts w:ascii="Arial" w:hAnsi="Arial" w:cs="Arial"/>
          <w:bCs/>
          <w:sz w:val="24"/>
        </w:rPr>
        <w:t xml:space="preserve">Language </w:t>
      </w:r>
      <w:r w:rsidR="00AA15ED">
        <w:rPr>
          <w:rFonts w:ascii="Arial" w:hAnsi="Arial" w:cs="Arial"/>
          <w:bCs/>
          <w:sz w:val="24"/>
        </w:rPr>
        <w:t>wa</w:t>
      </w:r>
      <w:r w:rsidRPr="00F73071">
        <w:rPr>
          <w:rFonts w:ascii="Arial" w:hAnsi="Arial" w:cs="Arial"/>
          <w:bCs/>
          <w:sz w:val="24"/>
        </w:rPr>
        <w:t xml:space="preserve">s added to provide that the maximum physician professional dispensing fee for a physician dispensing in accordance with Business and Professions Code section 4170 is $10.05 per allowed </w:t>
      </w:r>
      <w:r w:rsidR="00B3502B" w:rsidRPr="00F73071">
        <w:rPr>
          <w:rFonts w:ascii="Arial" w:hAnsi="Arial" w:cs="Arial"/>
          <w:bCs/>
          <w:sz w:val="24"/>
        </w:rPr>
        <w:t>containe</w:t>
      </w:r>
      <w:r w:rsidR="00B3502B">
        <w:rPr>
          <w:rFonts w:ascii="Arial" w:hAnsi="Arial" w:cs="Arial"/>
          <w:bCs/>
          <w:sz w:val="24"/>
        </w:rPr>
        <w:t>r</w:t>
      </w:r>
      <w:r w:rsidRPr="00F73071">
        <w:rPr>
          <w:rFonts w:ascii="Arial" w:hAnsi="Arial" w:cs="Arial"/>
          <w:bCs/>
          <w:sz w:val="24"/>
        </w:rPr>
        <w:t>.  It is necessary for clarity to set forth the $10.05 fee applicable to physicians since this is the default Medi-Cal dispensing fee except for a pharmacy whose NPI is listed on the Medi-Cal NPI file applicable to the date of service. It is necessary to include cross reference to the Business and Professions Code as this alerts physician dispensers to legal constraints on dispensing medications.</w:t>
      </w:r>
    </w:p>
    <w:p w14:paraId="45821354" w14:textId="4D128EFA" w:rsidR="00F73071" w:rsidRDefault="00F73071" w:rsidP="00F73071">
      <w:pPr>
        <w:spacing w:after="240"/>
        <w:jc w:val="left"/>
        <w:rPr>
          <w:rFonts w:ascii="Arial" w:hAnsi="Arial" w:cs="Arial"/>
          <w:sz w:val="24"/>
        </w:rPr>
      </w:pPr>
      <w:r w:rsidRPr="00F73071">
        <w:rPr>
          <w:rFonts w:ascii="Arial" w:hAnsi="Arial" w:cs="Arial"/>
          <w:bCs/>
          <w:sz w:val="24"/>
        </w:rPr>
        <w:t xml:space="preserve">In order to avoid confusion, it </w:t>
      </w:r>
      <w:r w:rsidR="00AA15ED">
        <w:rPr>
          <w:rFonts w:ascii="Arial" w:hAnsi="Arial" w:cs="Arial"/>
          <w:bCs/>
          <w:sz w:val="24"/>
        </w:rPr>
        <w:t>wa</w:t>
      </w:r>
      <w:r w:rsidRPr="00F73071">
        <w:rPr>
          <w:rFonts w:ascii="Arial" w:hAnsi="Arial" w:cs="Arial"/>
          <w:bCs/>
          <w:sz w:val="24"/>
        </w:rPr>
        <w:t>s necessary to add the word “maximum” to improve clarity as the fee schedule sets maximum fees, not a guaranteed amount. For example, for both pharmacies and physicians, fees are the lower of the billed amount or the amount calculated pursuant to the fee schedule rules. For physician compounded drugs there is a special cap under Labor Code section 5307.1, subdivision (e), of 300% of documented paid cost, but not more than $20.00 above documented paid cost.</w:t>
      </w:r>
    </w:p>
    <w:p w14:paraId="1D038EE4" w14:textId="77777777" w:rsidR="00F73071" w:rsidRDefault="00F73071" w:rsidP="00957C06">
      <w:pPr>
        <w:spacing w:after="240"/>
        <w:jc w:val="left"/>
        <w:rPr>
          <w:rFonts w:ascii="Arial" w:hAnsi="Arial" w:cs="Arial"/>
          <w:sz w:val="24"/>
        </w:rPr>
      </w:pPr>
    </w:p>
    <w:p w14:paraId="25BDE3D5" w14:textId="2FACEEC4" w:rsidR="00440451" w:rsidRPr="0085717F" w:rsidRDefault="00440451" w:rsidP="00D916B2">
      <w:pPr>
        <w:pStyle w:val="Heading2"/>
      </w:pPr>
      <w:r w:rsidRPr="0085717F">
        <w:lastRenderedPageBreak/>
        <w:t>Section 9789.40.</w:t>
      </w:r>
      <w:r w:rsidR="00CD0B55">
        <w:t>5</w:t>
      </w:r>
      <w:r w:rsidR="0067497B">
        <w:t>.</w:t>
      </w:r>
      <w:r w:rsidR="006130A9" w:rsidRPr="0085717F">
        <w:t xml:space="preserve"> </w:t>
      </w:r>
      <w:r w:rsidRPr="0085717F">
        <w:t>Miscellaneous Provisions - Pharmaceuticals Dispensed</w:t>
      </w:r>
      <w:r w:rsidR="003A33B8" w:rsidRPr="0085717F">
        <w:t xml:space="preserve"> </w:t>
      </w:r>
      <w:proofErr w:type="gramStart"/>
      <w:r w:rsidR="003A33B8" w:rsidRPr="0085717F">
        <w:t>By</w:t>
      </w:r>
      <w:proofErr w:type="gramEnd"/>
      <w:r w:rsidR="003A33B8" w:rsidRPr="0085717F">
        <w:t xml:space="preserve"> a Pharmacy</w:t>
      </w:r>
      <w:r w:rsidRPr="0085717F">
        <w:t xml:space="preserve"> on or after </w:t>
      </w:r>
      <w:r w:rsidR="00FD5325" w:rsidRPr="0085717F">
        <w:t xml:space="preserve">[Month </w:t>
      </w:r>
      <w:r w:rsidR="00662C2F">
        <w:t>1</w:t>
      </w:r>
      <w:r w:rsidR="008C4426" w:rsidRPr="0085717F">
        <w:t xml:space="preserve">, </w:t>
      </w:r>
      <w:r w:rsidR="00662C2F" w:rsidRPr="0085717F">
        <w:t>202</w:t>
      </w:r>
      <w:r w:rsidR="00662C2F">
        <w:t>5</w:t>
      </w:r>
      <w:r w:rsidR="00FD5325" w:rsidRPr="0085717F">
        <w:t>]</w:t>
      </w:r>
      <w:r w:rsidR="008E04B0" w:rsidRPr="0085717F">
        <w:t xml:space="preserve"> </w:t>
      </w:r>
      <w:r w:rsidR="008C4426" w:rsidRPr="0085717F">
        <w:t>[</w:t>
      </w:r>
      <w:r w:rsidR="00662C2F">
        <w:t>the first day of the month following</w:t>
      </w:r>
      <w:r w:rsidR="00D50310">
        <w:t>:</w:t>
      </w:r>
      <w:r w:rsidR="00662C2F">
        <w:t xml:space="preserve"> 180</w:t>
      </w:r>
      <w:r w:rsidR="008C4426" w:rsidRPr="0085717F">
        <w:t xml:space="preserve"> days after the amendments are filed with the Secretary of State</w:t>
      </w:r>
      <w:r w:rsidR="00132966">
        <w:t>; d</w:t>
      </w:r>
      <w:r w:rsidR="008C4426" w:rsidRPr="0085717F">
        <w:t>ate to be inserted by OAL]</w:t>
      </w:r>
      <w:r w:rsidR="0067497B">
        <w:t>.</w:t>
      </w:r>
    </w:p>
    <w:p w14:paraId="1946CEF7" w14:textId="4D7CEBDE" w:rsidR="00662C2F" w:rsidRPr="00662C2F" w:rsidRDefault="00662C2F" w:rsidP="00662C2F">
      <w:pPr>
        <w:spacing w:after="240"/>
        <w:jc w:val="left"/>
        <w:rPr>
          <w:rFonts w:ascii="Arial" w:hAnsi="Arial" w:cs="Arial"/>
          <w:sz w:val="24"/>
        </w:rPr>
      </w:pPr>
      <w:r w:rsidRPr="00662C2F">
        <w:rPr>
          <w:rFonts w:ascii="Arial" w:hAnsi="Arial" w:cs="Arial"/>
          <w:bCs/>
          <w:sz w:val="24"/>
        </w:rPr>
        <w:t xml:space="preserve">This section </w:t>
      </w:r>
      <w:r>
        <w:rPr>
          <w:rFonts w:ascii="Arial" w:hAnsi="Arial" w:cs="Arial"/>
          <w:bCs/>
          <w:sz w:val="24"/>
        </w:rPr>
        <w:t>wa</w:t>
      </w:r>
      <w:r w:rsidRPr="00662C2F">
        <w:rPr>
          <w:rFonts w:ascii="Arial" w:hAnsi="Arial" w:cs="Arial"/>
          <w:bCs/>
          <w:sz w:val="24"/>
        </w:rPr>
        <w:t xml:space="preserve">s renumbered from section 9789.40.4 to 9789.40.5.  In order to provide adequate time for implementation, the heading </w:t>
      </w:r>
      <w:r>
        <w:rPr>
          <w:rFonts w:ascii="Arial" w:hAnsi="Arial" w:cs="Arial"/>
          <w:bCs/>
          <w:sz w:val="24"/>
        </w:rPr>
        <w:t>wa</w:t>
      </w:r>
      <w:r w:rsidRPr="00662C2F">
        <w:rPr>
          <w:rFonts w:ascii="Arial" w:hAnsi="Arial" w:cs="Arial"/>
          <w:bCs/>
          <w:sz w:val="24"/>
        </w:rPr>
        <w:t xml:space="preserve">s modified </w:t>
      </w:r>
      <w:r w:rsidRPr="00662C2F">
        <w:rPr>
          <w:rFonts w:ascii="Arial" w:hAnsi="Arial" w:cs="Arial"/>
          <w:sz w:val="24"/>
        </w:rPr>
        <w:t>to extend effective date of changes from 90 days to 180 days (specifying the first day of the month following), and to indicate that this will be in the year 2025.</w:t>
      </w:r>
    </w:p>
    <w:p w14:paraId="4C7E8A6F" w14:textId="2BF8160C" w:rsidR="00662C2F" w:rsidRPr="00662C2F" w:rsidRDefault="00662C2F" w:rsidP="00662C2F">
      <w:pPr>
        <w:spacing w:after="240"/>
        <w:jc w:val="left"/>
        <w:rPr>
          <w:rFonts w:ascii="Arial" w:hAnsi="Arial" w:cs="Arial"/>
          <w:sz w:val="24"/>
        </w:rPr>
      </w:pPr>
      <w:r w:rsidRPr="00662C2F">
        <w:rPr>
          <w:rFonts w:ascii="Arial" w:hAnsi="Arial" w:cs="Arial"/>
          <w:b/>
          <w:bCs/>
          <w:sz w:val="24"/>
        </w:rPr>
        <w:t>Subdivision (a)</w:t>
      </w:r>
      <w:r w:rsidRPr="00662C2F">
        <w:rPr>
          <w:rFonts w:ascii="Arial" w:hAnsi="Arial" w:cs="Arial"/>
          <w:sz w:val="24"/>
        </w:rPr>
        <w:t xml:space="preserve"> As originally proposed, the section specifie</w:t>
      </w:r>
      <w:r>
        <w:rPr>
          <w:rFonts w:ascii="Arial" w:hAnsi="Arial" w:cs="Arial"/>
          <w:sz w:val="24"/>
        </w:rPr>
        <w:t>d</w:t>
      </w:r>
      <w:r w:rsidRPr="00662C2F">
        <w:rPr>
          <w:rFonts w:ascii="Arial" w:hAnsi="Arial" w:cs="Arial"/>
          <w:sz w:val="24"/>
        </w:rPr>
        <w:t xml:space="preserve"> that the provisions of the article apply to determine maximum fees for pharmaceuticals dispensed by a mail order pharmacy to an injured worker for treatment of a California workers’ compensation injury or illness, whether the injured worker resides within the state of California or outside the state of California.  The </w:t>
      </w:r>
      <w:r>
        <w:rPr>
          <w:rFonts w:ascii="Arial" w:hAnsi="Arial" w:cs="Arial"/>
          <w:sz w:val="24"/>
        </w:rPr>
        <w:t>adopted</w:t>
      </w:r>
      <w:r w:rsidRPr="00662C2F">
        <w:rPr>
          <w:rFonts w:ascii="Arial" w:hAnsi="Arial" w:cs="Arial"/>
          <w:sz w:val="24"/>
        </w:rPr>
        <w:t xml:space="preserve"> rule provides additional detail by stating that the article applies to determine the maximum “drug ingredient cost, dispensing, compounding, and sterility” fees</w:t>
      </w:r>
      <w:r>
        <w:rPr>
          <w:rFonts w:ascii="Arial" w:hAnsi="Arial" w:cs="Arial"/>
          <w:sz w:val="24"/>
        </w:rPr>
        <w:t>.</w:t>
      </w:r>
      <w:r w:rsidRPr="00662C2F">
        <w:rPr>
          <w:rFonts w:ascii="Arial" w:hAnsi="Arial" w:cs="Arial"/>
          <w:sz w:val="24"/>
        </w:rPr>
        <w:t xml:space="preserve"> This modification </w:t>
      </w:r>
      <w:r>
        <w:rPr>
          <w:rFonts w:ascii="Arial" w:hAnsi="Arial" w:cs="Arial"/>
          <w:sz w:val="24"/>
        </w:rPr>
        <w:t>was</w:t>
      </w:r>
      <w:r w:rsidRPr="00662C2F">
        <w:rPr>
          <w:rFonts w:ascii="Arial" w:hAnsi="Arial" w:cs="Arial"/>
          <w:sz w:val="24"/>
        </w:rPr>
        <w:t xml:space="preserve"> necessary to provide clarity on the components of the “fees” that are subject to the regulatory provisions.</w:t>
      </w:r>
    </w:p>
    <w:p w14:paraId="345146B9" w14:textId="7015E524" w:rsidR="006B4F2F" w:rsidRPr="0085717F" w:rsidRDefault="006B4F2F" w:rsidP="00D916B2">
      <w:pPr>
        <w:pStyle w:val="Heading2"/>
      </w:pPr>
      <w:r w:rsidRPr="0085717F">
        <w:t>Section 9789.40.</w:t>
      </w:r>
      <w:r w:rsidR="00995F98">
        <w:t>6</w:t>
      </w:r>
      <w:r w:rsidR="0067497B">
        <w:t>.</w:t>
      </w:r>
      <w:r w:rsidR="00C970F0" w:rsidRPr="0085717F">
        <w:t xml:space="preserve"> Pharmaceuticals Dispensed </w:t>
      </w:r>
      <w:proofErr w:type="gramStart"/>
      <w:r w:rsidR="00C970F0" w:rsidRPr="0085717F">
        <w:t>B</w:t>
      </w:r>
      <w:r w:rsidRPr="0085717F">
        <w:t>y</w:t>
      </w:r>
      <w:proofErr w:type="gramEnd"/>
      <w:r w:rsidRPr="0085717F">
        <w:t xml:space="preserve"> a Physician on or after </w:t>
      </w:r>
      <w:r w:rsidR="006B5A93" w:rsidRPr="0085717F">
        <w:t xml:space="preserve">[Month </w:t>
      </w:r>
      <w:r w:rsidR="00995F98">
        <w:t>1</w:t>
      </w:r>
      <w:r w:rsidR="004A1D09" w:rsidRPr="0085717F">
        <w:t xml:space="preserve">, </w:t>
      </w:r>
      <w:r w:rsidR="00995F98" w:rsidRPr="0085717F">
        <w:t>202</w:t>
      </w:r>
      <w:r w:rsidR="00995F98">
        <w:t>5</w:t>
      </w:r>
      <w:r w:rsidR="006B5A93" w:rsidRPr="0085717F">
        <w:t>]</w:t>
      </w:r>
      <w:r w:rsidR="008E04B0" w:rsidRPr="0085717F">
        <w:t xml:space="preserve"> </w:t>
      </w:r>
      <w:r w:rsidR="004A1D09" w:rsidRPr="0085717F">
        <w:t>[</w:t>
      </w:r>
      <w:r w:rsidR="00995F98">
        <w:t>the first day of the month following</w:t>
      </w:r>
      <w:r w:rsidR="00D50310">
        <w:t>:</w:t>
      </w:r>
      <w:r w:rsidR="00995F98">
        <w:t xml:space="preserve"> 180</w:t>
      </w:r>
      <w:r w:rsidR="004A1D09" w:rsidRPr="0085717F">
        <w:t xml:space="preserve"> days after the amendments are filed with the Secretary of State</w:t>
      </w:r>
      <w:r w:rsidR="00132966">
        <w:t>; d</w:t>
      </w:r>
      <w:r w:rsidR="004A1D09" w:rsidRPr="0085717F">
        <w:t>ate to be inserted by OAL]</w:t>
      </w:r>
      <w:r w:rsidR="0067497B">
        <w:t>.</w:t>
      </w:r>
    </w:p>
    <w:p w14:paraId="68A4214E" w14:textId="6F231820" w:rsidR="00995F98" w:rsidRPr="00995F98" w:rsidRDefault="00995F98" w:rsidP="00995F98">
      <w:pPr>
        <w:spacing w:after="240"/>
        <w:jc w:val="left"/>
        <w:rPr>
          <w:rFonts w:ascii="Arial" w:hAnsi="Arial" w:cs="Arial"/>
          <w:sz w:val="24"/>
        </w:rPr>
      </w:pPr>
      <w:r w:rsidRPr="00995F98">
        <w:rPr>
          <w:rFonts w:ascii="Arial" w:hAnsi="Arial" w:cs="Arial"/>
          <w:bCs/>
          <w:sz w:val="24"/>
        </w:rPr>
        <w:t xml:space="preserve">This section </w:t>
      </w:r>
      <w:r>
        <w:rPr>
          <w:rFonts w:ascii="Arial" w:hAnsi="Arial" w:cs="Arial"/>
          <w:bCs/>
          <w:sz w:val="24"/>
        </w:rPr>
        <w:t>wa</w:t>
      </w:r>
      <w:r w:rsidRPr="00995F98">
        <w:rPr>
          <w:rFonts w:ascii="Arial" w:hAnsi="Arial" w:cs="Arial"/>
          <w:bCs/>
          <w:sz w:val="24"/>
        </w:rPr>
        <w:t xml:space="preserve">s renumbered from section 9789.40.5 to 9789.40.6.  In order to provide adequate time for implementation, the heading </w:t>
      </w:r>
      <w:r>
        <w:rPr>
          <w:rFonts w:ascii="Arial" w:hAnsi="Arial" w:cs="Arial"/>
          <w:bCs/>
          <w:sz w:val="24"/>
        </w:rPr>
        <w:t>wa</w:t>
      </w:r>
      <w:r w:rsidRPr="00995F98">
        <w:rPr>
          <w:rFonts w:ascii="Arial" w:hAnsi="Arial" w:cs="Arial"/>
          <w:bCs/>
          <w:sz w:val="24"/>
        </w:rPr>
        <w:t xml:space="preserve">s modified </w:t>
      </w:r>
      <w:r w:rsidRPr="00995F98">
        <w:rPr>
          <w:rFonts w:ascii="Arial" w:hAnsi="Arial" w:cs="Arial"/>
          <w:sz w:val="24"/>
        </w:rPr>
        <w:t>to extend effective date of changes from 90 days to 180 days (specifying the first day of the month following), and to indicate that this will be in the year 2025.</w:t>
      </w:r>
    </w:p>
    <w:p w14:paraId="5EC6F7FE" w14:textId="68C24623" w:rsidR="006D2902" w:rsidRPr="006D2902" w:rsidRDefault="006D2902" w:rsidP="006D2902">
      <w:pPr>
        <w:spacing w:after="240"/>
        <w:jc w:val="left"/>
        <w:rPr>
          <w:rFonts w:ascii="Arial" w:hAnsi="Arial" w:cs="Arial"/>
          <w:sz w:val="24"/>
        </w:rPr>
      </w:pPr>
      <w:r w:rsidRPr="006D2902">
        <w:rPr>
          <w:rFonts w:ascii="Arial" w:hAnsi="Arial" w:cs="Arial"/>
          <w:b/>
          <w:sz w:val="24"/>
        </w:rPr>
        <w:t>Subdivision (a)</w:t>
      </w:r>
      <w:r w:rsidRPr="006D2902">
        <w:rPr>
          <w:rFonts w:ascii="Arial" w:hAnsi="Arial" w:cs="Arial"/>
          <w:bCs/>
          <w:sz w:val="24"/>
        </w:rPr>
        <w:t xml:space="preserve"> </w:t>
      </w:r>
      <w:r>
        <w:rPr>
          <w:rFonts w:ascii="Arial" w:hAnsi="Arial" w:cs="Arial"/>
          <w:bCs/>
          <w:sz w:val="24"/>
        </w:rPr>
        <w:t>wa</w:t>
      </w:r>
      <w:r w:rsidRPr="006D2902">
        <w:rPr>
          <w:rFonts w:ascii="Arial" w:hAnsi="Arial" w:cs="Arial"/>
          <w:bCs/>
          <w:sz w:val="24"/>
        </w:rPr>
        <w:t xml:space="preserve">s modified and reorganized </w:t>
      </w:r>
      <w:r>
        <w:rPr>
          <w:rFonts w:ascii="Arial" w:hAnsi="Arial" w:cs="Arial"/>
          <w:bCs/>
          <w:sz w:val="24"/>
        </w:rPr>
        <w:t xml:space="preserve">from the original proposal </w:t>
      </w:r>
      <w:r w:rsidRPr="006D2902">
        <w:rPr>
          <w:rFonts w:ascii="Arial" w:hAnsi="Arial" w:cs="Arial"/>
          <w:sz w:val="24"/>
        </w:rPr>
        <w:t xml:space="preserve">to provide greater clarity on the formula for physician-dispensed legend drugs, including the dispensing fee. </w:t>
      </w:r>
      <w:r>
        <w:rPr>
          <w:rFonts w:ascii="Arial" w:hAnsi="Arial" w:cs="Arial"/>
          <w:sz w:val="24"/>
        </w:rPr>
        <w:t xml:space="preserve">For legend drugs, the adopted regulation </w:t>
      </w:r>
      <w:r w:rsidRPr="006D2902">
        <w:rPr>
          <w:rFonts w:ascii="Arial" w:hAnsi="Arial" w:cs="Arial"/>
          <w:sz w:val="24"/>
        </w:rPr>
        <w:t>delet</w:t>
      </w:r>
      <w:r>
        <w:rPr>
          <w:rFonts w:ascii="Arial" w:hAnsi="Arial" w:cs="Arial"/>
          <w:sz w:val="24"/>
        </w:rPr>
        <w:t>es</w:t>
      </w:r>
      <w:r w:rsidRPr="006D2902">
        <w:rPr>
          <w:rFonts w:ascii="Arial" w:hAnsi="Arial" w:cs="Arial"/>
          <w:sz w:val="24"/>
        </w:rPr>
        <w:t xml:space="preserve"> the “lowest cost” formula from subdivision (a) since it has been moved to the new section 9789.40.1.  For clarity, the formula for the non-legend drugs is deleted from this subdivision and moved to a new subdivision (b). This enhances clarity because pursuant to Labor Code section 5307.1, subdivision (e)(5), a physician-dispensed non-legend drug is subject to additional caps beyond the fee schedule ((e)</w:t>
      </w:r>
      <w:r w:rsidR="009D0E52">
        <w:rPr>
          <w:rFonts w:ascii="Arial" w:hAnsi="Arial" w:cs="Arial"/>
          <w:sz w:val="24"/>
        </w:rPr>
        <w:t xml:space="preserve"> not to exceed: </w:t>
      </w:r>
      <w:r w:rsidRPr="006D2902">
        <w:rPr>
          <w:rFonts w:ascii="Arial" w:hAnsi="Arial" w:cs="Arial"/>
          <w:sz w:val="24"/>
        </w:rPr>
        <w:t>100% of documented paid cost, 100% of document paid cost plus $250.)</w:t>
      </w:r>
    </w:p>
    <w:p w14:paraId="1224A4D1" w14:textId="743CD45C" w:rsidR="006D2902" w:rsidRPr="006D2902" w:rsidRDefault="006D2902" w:rsidP="006D2902">
      <w:pPr>
        <w:spacing w:after="240"/>
        <w:jc w:val="left"/>
        <w:rPr>
          <w:rFonts w:ascii="Arial" w:hAnsi="Arial" w:cs="Arial"/>
          <w:sz w:val="24"/>
        </w:rPr>
      </w:pPr>
      <w:r w:rsidRPr="006D2902">
        <w:rPr>
          <w:rFonts w:ascii="Arial" w:hAnsi="Arial" w:cs="Arial"/>
          <w:sz w:val="24"/>
        </w:rPr>
        <w:t xml:space="preserve">The introductory sentence </w:t>
      </w:r>
      <w:r w:rsidR="009D0E52">
        <w:rPr>
          <w:rFonts w:ascii="Arial" w:hAnsi="Arial" w:cs="Arial"/>
          <w:sz w:val="24"/>
        </w:rPr>
        <w:t>wa</w:t>
      </w:r>
      <w:r w:rsidRPr="006D2902">
        <w:rPr>
          <w:rFonts w:ascii="Arial" w:hAnsi="Arial" w:cs="Arial"/>
          <w:sz w:val="24"/>
        </w:rPr>
        <w:t xml:space="preserve">s modified to set forth the basic formula for legend drugs: lower of: the drug ingredient cost times number of units dispensed plus dispensing fee, or the physician’s usual and customary charge to patient’s under the physician’s care. The sub-paragraphs, (a)(1), (a)(2), (a)(3) provide the definitions of drug ingredient cost that are used in the formula set forth in the introductory sentence. Subparagraph (a)(1) specifies drug ingredient cost is the “lowest cost” unless (a)(2) or (a)(3) is applicable. Subparagraph (a)(2) </w:t>
      </w:r>
      <w:r w:rsidRPr="006D2902">
        <w:rPr>
          <w:rFonts w:ascii="Arial" w:hAnsi="Arial" w:cs="Arial"/>
          <w:sz w:val="24"/>
        </w:rPr>
        <w:lastRenderedPageBreak/>
        <w:t xml:space="preserve">(renumbered, was previously subdivision (b)) specifies that for a legend brand name drug, where the physician has fulfilled the formulary regulation requirements regarding medical necessity and authorization, the drug ingredient cost is the “no substitution cost.” </w:t>
      </w:r>
      <w:r w:rsidR="000E09B8">
        <w:rPr>
          <w:rFonts w:ascii="Arial" w:hAnsi="Arial" w:cs="Arial"/>
          <w:sz w:val="24"/>
        </w:rPr>
        <w:t>The “no substitution cost” formula (</w:t>
      </w:r>
      <w:r w:rsidR="00D50310">
        <w:rPr>
          <w:rFonts w:ascii="Arial" w:hAnsi="Arial" w:cs="Arial"/>
          <w:sz w:val="24"/>
        </w:rPr>
        <w:t>originally in</w:t>
      </w:r>
      <w:r w:rsidR="000E09B8">
        <w:rPr>
          <w:rFonts w:ascii="Arial" w:hAnsi="Arial" w:cs="Arial"/>
          <w:sz w:val="24"/>
        </w:rPr>
        <w:t xml:space="preserve"> </w:t>
      </w:r>
      <w:r w:rsidRPr="006D2902">
        <w:rPr>
          <w:rFonts w:ascii="Arial" w:hAnsi="Arial" w:cs="Arial"/>
          <w:sz w:val="24"/>
        </w:rPr>
        <w:t>Subparagraph (a)(3) specifies the drug ingredient cost for a repackaged drug: (a)(3)(A) “lowest cost” for the NDC of the underlying drug product; (a)(3)(B) “no substitution cost” for the NDC of the underlying drug product for a legend brand name drug where the physician has fulfilled the formulary regulation requirements regarding medical necessity and authorization; (a)(3)(C) the “lowest cost” of the lowest priced therapeutically equivalent drug where the repackaged drug’s underlying NDC is not set forth on the Pharmaceutical Fee Data File.</w:t>
      </w:r>
    </w:p>
    <w:p w14:paraId="22D39BBA" w14:textId="6BB33E08" w:rsidR="006D2902" w:rsidRPr="006D2902" w:rsidRDefault="006D2902" w:rsidP="006D2902">
      <w:pPr>
        <w:spacing w:after="240"/>
        <w:jc w:val="left"/>
        <w:rPr>
          <w:rFonts w:ascii="Arial" w:hAnsi="Arial" w:cs="Arial"/>
          <w:sz w:val="24"/>
        </w:rPr>
      </w:pPr>
      <w:r w:rsidRPr="006D2902">
        <w:rPr>
          <w:rFonts w:ascii="Arial" w:hAnsi="Arial" w:cs="Arial"/>
          <w:sz w:val="24"/>
        </w:rPr>
        <w:t>These modifications reorganize</w:t>
      </w:r>
      <w:r w:rsidR="009D0E52">
        <w:rPr>
          <w:rFonts w:ascii="Arial" w:hAnsi="Arial" w:cs="Arial"/>
          <w:sz w:val="24"/>
        </w:rPr>
        <w:t>d</w:t>
      </w:r>
      <w:r w:rsidRPr="006D2902">
        <w:rPr>
          <w:rFonts w:ascii="Arial" w:hAnsi="Arial" w:cs="Arial"/>
          <w:sz w:val="24"/>
        </w:rPr>
        <w:t xml:space="preserve"> and streamline</w:t>
      </w:r>
      <w:r w:rsidR="009D0E52">
        <w:rPr>
          <w:rFonts w:ascii="Arial" w:hAnsi="Arial" w:cs="Arial"/>
          <w:sz w:val="24"/>
        </w:rPr>
        <w:t>d</w:t>
      </w:r>
      <w:r w:rsidRPr="006D2902">
        <w:rPr>
          <w:rFonts w:ascii="Arial" w:hAnsi="Arial" w:cs="Arial"/>
          <w:sz w:val="24"/>
        </w:rPr>
        <w:t xml:space="preserve"> the provisions so that the formula does not need to be repeated for the variations in scenarios. Clarity </w:t>
      </w:r>
      <w:r w:rsidR="009D0E52">
        <w:rPr>
          <w:rFonts w:ascii="Arial" w:hAnsi="Arial" w:cs="Arial"/>
          <w:sz w:val="24"/>
        </w:rPr>
        <w:t>wa</w:t>
      </w:r>
      <w:r w:rsidRPr="006D2902">
        <w:rPr>
          <w:rFonts w:ascii="Arial" w:hAnsi="Arial" w:cs="Arial"/>
          <w:sz w:val="24"/>
        </w:rPr>
        <w:t xml:space="preserve">s improved by structuring the subdivision so that the basic formula applies to all scenarios, only the meaning of “drug ingredient cost” changes as set forth in each of the subparagraphs. The previous subdivision (c) </w:t>
      </w:r>
      <w:r w:rsidR="009D0E52">
        <w:rPr>
          <w:rFonts w:ascii="Arial" w:hAnsi="Arial" w:cs="Arial"/>
          <w:sz w:val="24"/>
        </w:rPr>
        <w:t>wa</w:t>
      </w:r>
      <w:r w:rsidRPr="006D2902">
        <w:rPr>
          <w:rFonts w:ascii="Arial" w:hAnsi="Arial" w:cs="Arial"/>
          <w:sz w:val="24"/>
        </w:rPr>
        <w:t xml:space="preserve">s deleted due to the reorganization of the provisions. Subparagraphs (c)(1) and (c)(2) </w:t>
      </w:r>
      <w:r w:rsidR="009D0E52">
        <w:rPr>
          <w:rFonts w:ascii="Arial" w:hAnsi="Arial" w:cs="Arial"/>
          <w:sz w:val="24"/>
        </w:rPr>
        <w:t>we</w:t>
      </w:r>
      <w:r w:rsidRPr="006D2902">
        <w:rPr>
          <w:rFonts w:ascii="Arial" w:hAnsi="Arial" w:cs="Arial"/>
          <w:sz w:val="24"/>
        </w:rPr>
        <w:t xml:space="preserve">re deleted because the provisions relating to legend repackaged drugs have been incorporated into subdivision (a) and the provisions relating to non-legend repackaged drugs have been moved to new subdivision (b).  Subdivision (c)(3), setting forth the requirement to identify the NDC of the dispensed repackaged drug and the NDC of the underlying drug product on the bill in accordance with paper and electronic billing requirements </w:t>
      </w:r>
      <w:r w:rsidR="009D0E52">
        <w:rPr>
          <w:rFonts w:ascii="Arial" w:hAnsi="Arial" w:cs="Arial"/>
          <w:sz w:val="24"/>
        </w:rPr>
        <w:t>wa</w:t>
      </w:r>
      <w:r w:rsidRPr="006D2902">
        <w:rPr>
          <w:rFonts w:ascii="Arial" w:hAnsi="Arial" w:cs="Arial"/>
          <w:sz w:val="24"/>
        </w:rPr>
        <w:t xml:space="preserve">s deleted because the provisions </w:t>
      </w:r>
      <w:r w:rsidR="00585221">
        <w:rPr>
          <w:rFonts w:ascii="Arial" w:hAnsi="Arial" w:cs="Arial"/>
          <w:sz w:val="24"/>
        </w:rPr>
        <w:t>wer</w:t>
      </w:r>
      <w:r w:rsidRPr="006D2902">
        <w:rPr>
          <w:rFonts w:ascii="Arial" w:hAnsi="Arial" w:cs="Arial"/>
          <w:sz w:val="24"/>
        </w:rPr>
        <w:t xml:space="preserve">e moved to a new subdivision (d). Subdivision (c)(4) setting forth definitions of “therapeutically equivalent drugs” and “National Drug Code for the underlying drug product from the original labeler” </w:t>
      </w:r>
      <w:r w:rsidR="009D0E52">
        <w:rPr>
          <w:rFonts w:ascii="Arial" w:hAnsi="Arial" w:cs="Arial"/>
          <w:sz w:val="24"/>
        </w:rPr>
        <w:t>wa</w:t>
      </w:r>
      <w:r w:rsidRPr="006D2902">
        <w:rPr>
          <w:rFonts w:ascii="Arial" w:hAnsi="Arial" w:cs="Arial"/>
          <w:sz w:val="24"/>
        </w:rPr>
        <w:t xml:space="preserve">s deleted because the provisions </w:t>
      </w:r>
      <w:r w:rsidR="009D0E52">
        <w:rPr>
          <w:rFonts w:ascii="Arial" w:hAnsi="Arial" w:cs="Arial"/>
          <w:sz w:val="24"/>
        </w:rPr>
        <w:t>we</w:t>
      </w:r>
      <w:r w:rsidRPr="006D2902">
        <w:rPr>
          <w:rFonts w:ascii="Arial" w:hAnsi="Arial" w:cs="Arial"/>
          <w:sz w:val="24"/>
        </w:rPr>
        <w:t>re moved to a new subdivision (e).</w:t>
      </w:r>
    </w:p>
    <w:p w14:paraId="547B483A" w14:textId="185DB85C" w:rsidR="004326B9" w:rsidRPr="004326B9" w:rsidRDefault="004326B9" w:rsidP="004326B9">
      <w:pPr>
        <w:spacing w:after="240"/>
        <w:jc w:val="left"/>
        <w:rPr>
          <w:rFonts w:ascii="Arial" w:hAnsi="Arial" w:cs="Arial"/>
          <w:b/>
          <w:bCs/>
          <w:sz w:val="24"/>
        </w:rPr>
      </w:pPr>
      <w:r w:rsidRPr="004326B9">
        <w:rPr>
          <w:rFonts w:ascii="Arial" w:hAnsi="Arial" w:cs="Arial"/>
          <w:b/>
          <w:bCs/>
          <w:sz w:val="24"/>
        </w:rPr>
        <w:t>Subdivision (b)</w:t>
      </w:r>
      <w:r w:rsidRPr="004326B9">
        <w:rPr>
          <w:rFonts w:ascii="Arial" w:hAnsi="Arial" w:cs="Arial"/>
          <w:sz w:val="24"/>
        </w:rPr>
        <w:t xml:space="preserve"> setting forth the formula for the maximum reasonable fee for a non-legend drug </w:t>
      </w:r>
      <w:r>
        <w:rPr>
          <w:rFonts w:ascii="Arial" w:hAnsi="Arial" w:cs="Arial"/>
          <w:sz w:val="24"/>
        </w:rPr>
        <w:t>wa</w:t>
      </w:r>
      <w:r w:rsidRPr="004326B9">
        <w:rPr>
          <w:rFonts w:ascii="Arial" w:hAnsi="Arial" w:cs="Arial"/>
          <w:sz w:val="24"/>
        </w:rPr>
        <w:t xml:space="preserve">s renumbered (was previously subdivision (d)) and </w:t>
      </w:r>
      <w:r>
        <w:rPr>
          <w:rFonts w:ascii="Arial" w:hAnsi="Arial" w:cs="Arial"/>
          <w:sz w:val="24"/>
        </w:rPr>
        <w:t>was</w:t>
      </w:r>
      <w:r w:rsidRPr="004326B9">
        <w:rPr>
          <w:rFonts w:ascii="Arial" w:hAnsi="Arial" w:cs="Arial"/>
          <w:sz w:val="24"/>
        </w:rPr>
        <w:t xml:space="preserve"> modified to include non-legend repackaged drugs.</w:t>
      </w:r>
    </w:p>
    <w:p w14:paraId="188EADF8" w14:textId="1C2DCBCE" w:rsidR="004326B9" w:rsidRPr="004326B9" w:rsidRDefault="004326B9" w:rsidP="004326B9">
      <w:pPr>
        <w:spacing w:after="240"/>
        <w:jc w:val="left"/>
        <w:rPr>
          <w:rFonts w:ascii="Arial" w:hAnsi="Arial" w:cs="Arial"/>
          <w:sz w:val="24"/>
        </w:rPr>
      </w:pPr>
      <w:r w:rsidRPr="004326B9">
        <w:rPr>
          <w:rFonts w:ascii="Arial" w:hAnsi="Arial" w:cs="Arial"/>
          <w:b/>
          <w:bCs/>
          <w:sz w:val="24"/>
        </w:rPr>
        <w:t>Subdivision (c)</w:t>
      </w:r>
      <w:r w:rsidRPr="004326B9">
        <w:rPr>
          <w:rFonts w:ascii="Arial" w:hAnsi="Arial" w:cs="Arial"/>
          <w:sz w:val="24"/>
        </w:rPr>
        <w:t xml:space="preserve"> which defines “documented paid cost” is identical to the previous subdivision (h) which </w:t>
      </w:r>
      <w:r>
        <w:rPr>
          <w:rFonts w:ascii="Arial" w:hAnsi="Arial" w:cs="Arial"/>
          <w:sz w:val="24"/>
        </w:rPr>
        <w:t>wa</w:t>
      </w:r>
      <w:r w:rsidRPr="004326B9">
        <w:rPr>
          <w:rFonts w:ascii="Arial" w:hAnsi="Arial" w:cs="Arial"/>
          <w:sz w:val="24"/>
        </w:rPr>
        <w:t>s deleted. Moving the provision to the new subdivision (c) improves clarity as the term “documented paid cost” is utilized in the two preceding subdivisions.</w:t>
      </w:r>
    </w:p>
    <w:p w14:paraId="34B4AEDA" w14:textId="4EF4B6C6" w:rsidR="004326B9" w:rsidRPr="004326B9" w:rsidRDefault="004326B9" w:rsidP="004326B9">
      <w:pPr>
        <w:spacing w:after="240"/>
        <w:jc w:val="left"/>
        <w:rPr>
          <w:rFonts w:ascii="Arial" w:hAnsi="Arial" w:cs="Arial"/>
          <w:sz w:val="24"/>
        </w:rPr>
      </w:pPr>
      <w:r w:rsidRPr="004326B9">
        <w:rPr>
          <w:rFonts w:ascii="Arial" w:hAnsi="Arial" w:cs="Arial"/>
          <w:b/>
          <w:bCs/>
          <w:sz w:val="24"/>
        </w:rPr>
        <w:t>Subdivision (d)</w:t>
      </w:r>
      <w:r w:rsidRPr="004326B9">
        <w:rPr>
          <w:rFonts w:ascii="Arial" w:hAnsi="Arial" w:cs="Arial"/>
          <w:sz w:val="24"/>
        </w:rPr>
        <w:t xml:space="preserve"> sets forth the requirement to include both dispensed product NDC and underlying drug product NDC on the bill for repackaged drugs, and cross references the billing regulations. The language </w:t>
      </w:r>
      <w:r>
        <w:rPr>
          <w:rFonts w:ascii="Arial" w:hAnsi="Arial" w:cs="Arial"/>
          <w:sz w:val="24"/>
        </w:rPr>
        <w:t>was</w:t>
      </w:r>
      <w:r w:rsidRPr="004326B9">
        <w:rPr>
          <w:rFonts w:ascii="Arial" w:hAnsi="Arial" w:cs="Arial"/>
          <w:sz w:val="24"/>
        </w:rPr>
        <w:t xml:space="preserve"> moved from the previous subdivision (c)(3); </w:t>
      </w:r>
      <w:r>
        <w:rPr>
          <w:rFonts w:ascii="Arial" w:hAnsi="Arial" w:cs="Arial"/>
          <w:sz w:val="24"/>
        </w:rPr>
        <w:t>there was no</w:t>
      </w:r>
      <w:r w:rsidRPr="004326B9">
        <w:rPr>
          <w:rFonts w:ascii="Arial" w:hAnsi="Arial" w:cs="Arial"/>
          <w:sz w:val="24"/>
        </w:rPr>
        <w:t xml:space="preserve"> substantive change</w:t>
      </w:r>
      <w:r>
        <w:rPr>
          <w:rFonts w:ascii="Arial" w:hAnsi="Arial" w:cs="Arial"/>
          <w:sz w:val="24"/>
        </w:rPr>
        <w:t xml:space="preserve"> from the original proposal</w:t>
      </w:r>
      <w:r w:rsidRPr="004326B9">
        <w:rPr>
          <w:rFonts w:ascii="Arial" w:hAnsi="Arial" w:cs="Arial"/>
          <w:sz w:val="24"/>
        </w:rPr>
        <w:t xml:space="preserve">. Moving the provision to its own subdivision </w:t>
      </w:r>
      <w:r>
        <w:rPr>
          <w:rFonts w:ascii="Arial" w:hAnsi="Arial" w:cs="Arial"/>
          <w:sz w:val="24"/>
        </w:rPr>
        <w:t>wa</w:t>
      </w:r>
      <w:r w:rsidRPr="004326B9">
        <w:rPr>
          <w:rFonts w:ascii="Arial" w:hAnsi="Arial" w:cs="Arial"/>
          <w:sz w:val="24"/>
        </w:rPr>
        <w:t>s necessary in light of the reorganization of the regulations, which separates legend and non-legend drugs in different subdivisions.</w:t>
      </w:r>
    </w:p>
    <w:p w14:paraId="12A4BE09" w14:textId="0F881F02" w:rsidR="004326B9" w:rsidRPr="004326B9" w:rsidRDefault="004326B9" w:rsidP="004326B9">
      <w:pPr>
        <w:spacing w:after="240"/>
        <w:jc w:val="left"/>
        <w:rPr>
          <w:rFonts w:ascii="Arial" w:hAnsi="Arial" w:cs="Arial"/>
          <w:b/>
          <w:bCs/>
          <w:sz w:val="24"/>
        </w:rPr>
      </w:pPr>
      <w:r w:rsidRPr="004326B9">
        <w:rPr>
          <w:rFonts w:ascii="Arial" w:hAnsi="Arial" w:cs="Arial"/>
          <w:b/>
          <w:bCs/>
          <w:sz w:val="24"/>
        </w:rPr>
        <w:t>Subdivision (e)</w:t>
      </w:r>
      <w:r w:rsidRPr="004326B9">
        <w:rPr>
          <w:rFonts w:ascii="Arial" w:hAnsi="Arial" w:cs="Arial"/>
          <w:sz w:val="24"/>
        </w:rPr>
        <w:t xml:space="preserve"> sets forth the definitions of “therapeutically equivalent drugs” and “National Drug Code for the underlying drug product from the original </w:t>
      </w:r>
      <w:r w:rsidRPr="004326B9">
        <w:rPr>
          <w:rFonts w:ascii="Arial" w:hAnsi="Arial" w:cs="Arial"/>
          <w:sz w:val="24"/>
        </w:rPr>
        <w:lastRenderedPageBreak/>
        <w:t xml:space="preserve">labeler.” The language </w:t>
      </w:r>
      <w:r>
        <w:rPr>
          <w:rFonts w:ascii="Arial" w:hAnsi="Arial" w:cs="Arial"/>
          <w:sz w:val="24"/>
        </w:rPr>
        <w:t>was</w:t>
      </w:r>
      <w:r w:rsidRPr="004326B9">
        <w:rPr>
          <w:rFonts w:ascii="Arial" w:hAnsi="Arial" w:cs="Arial"/>
          <w:sz w:val="24"/>
        </w:rPr>
        <w:t xml:space="preserve"> moved from the previous subdivision (c)(4); </w:t>
      </w:r>
      <w:r>
        <w:rPr>
          <w:rFonts w:ascii="Arial" w:hAnsi="Arial" w:cs="Arial"/>
          <w:sz w:val="24"/>
        </w:rPr>
        <w:t>there was no</w:t>
      </w:r>
      <w:r w:rsidRPr="004326B9">
        <w:rPr>
          <w:rFonts w:ascii="Arial" w:hAnsi="Arial" w:cs="Arial"/>
          <w:sz w:val="24"/>
        </w:rPr>
        <w:t xml:space="preserve"> substantive change.</w:t>
      </w:r>
    </w:p>
    <w:p w14:paraId="3A1B947F" w14:textId="458022AF" w:rsidR="004326B9" w:rsidRPr="004326B9" w:rsidRDefault="004326B9" w:rsidP="004326B9">
      <w:pPr>
        <w:spacing w:after="240"/>
        <w:jc w:val="left"/>
        <w:rPr>
          <w:rFonts w:ascii="Arial" w:hAnsi="Arial" w:cs="Arial"/>
          <w:sz w:val="24"/>
        </w:rPr>
      </w:pPr>
      <w:r w:rsidRPr="004326B9">
        <w:rPr>
          <w:rFonts w:ascii="Arial" w:hAnsi="Arial" w:cs="Arial"/>
          <w:b/>
          <w:bCs/>
          <w:sz w:val="24"/>
        </w:rPr>
        <w:t>Subdivision (f)</w:t>
      </w:r>
      <w:r w:rsidRPr="004326B9">
        <w:rPr>
          <w:rFonts w:ascii="Arial" w:hAnsi="Arial" w:cs="Arial"/>
          <w:sz w:val="24"/>
        </w:rPr>
        <w:t xml:space="preserve"> (the </w:t>
      </w:r>
      <w:r>
        <w:rPr>
          <w:rFonts w:ascii="Arial" w:hAnsi="Arial" w:cs="Arial"/>
          <w:sz w:val="24"/>
        </w:rPr>
        <w:t>originally proposed</w:t>
      </w:r>
      <w:r w:rsidRPr="004326B9">
        <w:rPr>
          <w:rFonts w:ascii="Arial" w:hAnsi="Arial" w:cs="Arial"/>
          <w:sz w:val="24"/>
        </w:rPr>
        <w:t xml:space="preserve"> subdivision (e)) sets forth a “default” formula for physician dispensed drugs not otherwise covered by the fee schedule provisions. This subdivision implements the provisions of Labor Code section 5307.1(e)(5), which sets forth a default for physician dispensed drugs not otherwise covered:</w:t>
      </w:r>
    </w:p>
    <w:p w14:paraId="4F1CB077" w14:textId="77777777" w:rsidR="004326B9" w:rsidRPr="004326B9" w:rsidRDefault="004326B9" w:rsidP="007638A6">
      <w:pPr>
        <w:spacing w:after="240"/>
        <w:ind w:left="720"/>
        <w:jc w:val="left"/>
        <w:rPr>
          <w:rFonts w:ascii="Arial" w:hAnsi="Arial" w:cs="Arial"/>
          <w:sz w:val="24"/>
        </w:rPr>
      </w:pPr>
      <w:r w:rsidRPr="004326B9">
        <w:rPr>
          <w:rFonts w:ascii="Arial" w:hAnsi="Arial" w:cs="Arial"/>
          <w:sz w:val="24"/>
        </w:rPr>
        <w:t>“(5) For any pharmacy goods dispensed by a physician not subject to paragraph (2) [compounded drugs], (3) [FDA approved finished drug product], or (4) [dangerous device], the maximum reimbursement to a physician for pharmacy goods dispensed by the physician shall not exceed any of the following:</w:t>
      </w:r>
    </w:p>
    <w:p w14:paraId="1AAAA764" w14:textId="77777777" w:rsidR="004326B9" w:rsidRPr="004326B9" w:rsidRDefault="004326B9" w:rsidP="007638A6">
      <w:pPr>
        <w:spacing w:after="240"/>
        <w:ind w:left="720"/>
        <w:jc w:val="left"/>
        <w:rPr>
          <w:rFonts w:ascii="Arial" w:hAnsi="Arial" w:cs="Arial"/>
          <w:sz w:val="24"/>
        </w:rPr>
      </w:pPr>
      <w:r w:rsidRPr="004326B9">
        <w:rPr>
          <w:rFonts w:ascii="Arial" w:hAnsi="Arial" w:cs="Arial"/>
          <w:sz w:val="24"/>
        </w:rPr>
        <w:t>(A) The amount allowed for the pharmacy goods pursuant to the official medical fee schedule adopted by the administrative director or pursuant to paragraph (2), as applicable.</w:t>
      </w:r>
    </w:p>
    <w:p w14:paraId="1FE458DC" w14:textId="77777777" w:rsidR="004326B9" w:rsidRPr="004326B9" w:rsidRDefault="004326B9" w:rsidP="007638A6">
      <w:pPr>
        <w:spacing w:after="240"/>
        <w:ind w:left="720"/>
        <w:jc w:val="left"/>
        <w:rPr>
          <w:rFonts w:ascii="Arial" w:hAnsi="Arial" w:cs="Arial"/>
          <w:sz w:val="24"/>
        </w:rPr>
      </w:pPr>
      <w:r w:rsidRPr="004326B9">
        <w:rPr>
          <w:rFonts w:ascii="Arial" w:hAnsi="Arial" w:cs="Arial"/>
          <w:sz w:val="24"/>
        </w:rPr>
        <w:t>(B) One hundred twenty percent of the documented paid cost to the physician.</w:t>
      </w:r>
    </w:p>
    <w:p w14:paraId="1631A5E0" w14:textId="77777777" w:rsidR="004326B9" w:rsidRPr="004326B9" w:rsidRDefault="004326B9" w:rsidP="007638A6">
      <w:pPr>
        <w:spacing w:after="240"/>
        <w:ind w:left="720"/>
        <w:jc w:val="left"/>
        <w:rPr>
          <w:rFonts w:ascii="Arial" w:hAnsi="Arial" w:cs="Arial"/>
          <w:sz w:val="24"/>
        </w:rPr>
      </w:pPr>
      <w:r w:rsidRPr="004326B9">
        <w:rPr>
          <w:rFonts w:ascii="Arial" w:hAnsi="Arial" w:cs="Arial"/>
          <w:sz w:val="24"/>
        </w:rPr>
        <w:t>(C) One hundred percent of the documented paid cost to the physician plus two hundred fifty dollars ($250).”</w:t>
      </w:r>
    </w:p>
    <w:p w14:paraId="09B52D76" w14:textId="717FD338" w:rsidR="004326B9" w:rsidRPr="004326B9" w:rsidRDefault="004326B9" w:rsidP="004326B9">
      <w:pPr>
        <w:spacing w:after="240"/>
        <w:jc w:val="left"/>
        <w:rPr>
          <w:rFonts w:ascii="Arial" w:hAnsi="Arial" w:cs="Arial"/>
          <w:sz w:val="24"/>
        </w:rPr>
      </w:pPr>
      <w:r w:rsidRPr="004326B9">
        <w:rPr>
          <w:rFonts w:ascii="Arial" w:hAnsi="Arial" w:cs="Arial"/>
          <w:sz w:val="24"/>
        </w:rPr>
        <w:t xml:space="preserve">For clarity and accuracy, the subdivision </w:t>
      </w:r>
      <w:r>
        <w:rPr>
          <w:rFonts w:ascii="Arial" w:hAnsi="Arial" w:cs="Arial"/>
          <w:sz w:val="24"/>
        </w:rPr>
        <w:t>wa</w:t>
      </w:r>
      <w:r w:rsidRPr="004326B9">
        <w:rPr>
          <w:rFonts w:ascii="Arial" w:hAnsi="Arial" w:cs="Arial"/>
          <w:sz w:val="24"/>
        </w:rPr>
        <w:t>s revised to make the default formula applicable to pharmacy goods not subject to the fee schedule by reference to all of the regulation sections that govern the fees for physician dispensed drugs, instead of the subdivisions of section 9789.40.6. Therefore, the</w:t>
      </w:r>
      <w:r>
        <w:rPr>
          <w:rFonts w:ascii="Arial" w:hAnsi="Arial" w:cs="Arial"/>
          <w:sz w:val="24"/>
        </w:rPr>
        <w:t xml:space="preserve"> adopted</w:t>
      </w:r>
      <w:r w:rsidRPr="004326B9">
        <w:rPr>
          <w:rFonts w:ascii="Arial" w:hAnsi="Arial" w:cs="Arial"/>
          <w:sz w:val="24"/>
        </w:rPr>
        <w:t xml:space="preserve"> language delete</w:t>
      </w:r>
      <w:r>
        <w:rPr>
          <w:rFonts w:ascii="Arial" w:hAnsi="Arial" w:cs="Arial"/>
          <w:sz w:val="24"/>
        </w:rPr>
        <w:t>d</w:t>
      </w:r>
      <w:r w:rsidRPr="004326B9">
        <w:rPr>
          <w:rFonts w:ascii="Arial" w:hAnsi="Arial" w:cs="Arial"/>
          <w:sz w:val="24"/>
        </w:rPr>
        <w:t xml:space="preserve"> the phrase “subdivision (a), (b), (c)” and add</w:t>
      </w:r>
      <w:r>
        <w:rPr>
          <w:rFonts w:ascii="Arial" w:hAnsi="Arial" w:cs="Arial"/>
          <w:sz w:val="24"/>
        </w:rPr>
        <w:t>ed</w:t>
      </w:r>
      <w:r w:rsidRPr="004326B9">
        <w:rPr>
          <w:rFonts w:ascii="Arial" w:hAnsi="Arial" w:cs="Arial"/>
          <w:sz w:val="24"/>
        </w:rPr>
        <w:t xml:space="preserve"> reference to include sections 9789.40.1, 9789.40.4, 9789.40.6, and 9789.40.7. The </w:t>
      </w:r>
      <w:r>
        <w:rPr>
          <w:rFonts w:ascii="Arial" w:hAnsi="Arial" w:cs="Arial"/>
          <w:sz w:val="24"/>
        </w:rPr>
        <w:t>adopted regulation</w:t>
      </w:r>
      <w:r w:rsidRPr="004326B9">
        <w:rPr>
          <w:rFonts w:ascii="Arial" w:hAnsi="Arial" w:cs="Arial"/>
          <w:sz w:val="24"/>
        </w:rPr>
        <w:t xml:space="preserve"> modifie</w:t>
      </w:r>
      <w:r>
        <w:rPr>
          <w:rFonts w:ascii="Arial" w:hAnsi="Arial" w:cs="Arial"/>
          <w:sz w:val="24"/>
        </w:rPr>
        <w:t>s</w:t>
      </w:r>
      <w:r w:rsidRPr="004326B9">
        <w:rPr>
          <w:rFonts w:ascii="Arial" w:hAnsi="Arial" w:cs="Arial"/>
          <w:sz w:val="24"/>
        </w:rPr>
        <w:t xml:space="preserve"> the reference to specify subdivision (b) (which applies to non-legend drugs) instead of subdivision (d) as the section governing the default fee, to conform to reorganization and renumbering of this section.</w:t>
      </w:r>
    </w:p>
    <w:p w14:paraId="181A5214" w14:textId="340C862F" w:rsidR="00585221" w:rsidRPr="00585221" w:rsidRDefault="00905FCE" w:rsidP="00585221">
      <w:pPr>
        <w:spacing w:after="240"/>
        <w:jc w:val="left"/>
        <w:rPr>
          <w:rFonts w:ascii="Arial" w:hAnsi="Arial" w:cs="Arial"/>
          <w:sz w:val="24"/>
        </w:rPr>
      </w:pPr>
      <w:r w:rsidRPr="00905FCE">
        <w:rPr>
          <w:rFonts w:ascii="Arial" w:hAnsi="Arial" w:cs="Arial"/>
          <w:b/>
          <w:bCs/>
          <w:sz w:val="24"/>
        </w:rPr>
        <w:t>Subdivision (g)</w:t>
      </w:r>
      <w:r w:rsidRPr="00905FCE">
        <w:rPr>
          <w:rFonts w:ascii="Arial" w:hAnsi="Arial" w:cs="Arial"/>
          <w:sz w:val="24"/>
        </w:rPr>
        <w:t xml:space="preserve">: </w:t>
      </w:r>
      <w:r w:rsidR="00197BD3">
        <w:rPr>
          <w:rFonts w:ascii="Arial" w:hAnsi="Arial" w:cs="Arial"/>
          <w:sz w:val="24"/>
        </w:rPr>
        <w:t>originally proposed as</w:t>
      </w:r>
      <w:r w:rsidRPr="00905FCE">
        <w:rPr>
          <w:rFonts w:ascii="Arial" w:hAnsi="Arial" w:cs="Arial"/>
          <w:sz w:val="24"/>
        </w:rPr>
        <w:t xml:space="preserve"> subdivision (f) </w:t>
      </w:r>
      <w:r>
        <w:rPr>
          <w:rFonts w:ascii="Arial" w:hAnsi="Arial" w:cs="Arial"/>
          <w:sz w:val="24"/>
        </w:rPr>
        <w:t>wa</w:t>
      </w:r>
      <w:r w:rsidRPr="00905FCE">
        <w:rPr>
          <w:rFonts w:ascii="Arial" w:hAnsi="Arial" w:cs="Arial"/>
          <w:sz w:val="24"/>
        </w:rPr>
        <w:t>s renumbered as (g)</w:t>
      </w:r>
      <w:r w:rsidR="00585221">
        <w:rPr>
          <w:rFonts w:ascii="Arial" w:hAnsi="Arial" w:cs="Arial"/>
          <w:sz w:val="24"/>
        </w:rPr>
        <w:t>. The adopted regulation deletes the originally proposed language stating that a dispensing fee is not payable to a physician.</w:t>
      </w:r>
      <w:r w:rsidR="00585221" w:rsidRPr="00585221">
        <w:rPr>
          <w:rFonts w:ascii="Arial" w:hAnsi="Arial" w:cs="Arial"/>
          <w:sz w:val="24"/>
          <w:szCs w:val="24"/>
        </w:rPr>
        <w:t xml:space="preserve"> </w:t>
      </w:r>
      <w:r w:rsidR="00585221" w:rsidRPr="00585221">
        <w:rPr>
          <w:rFonts w:ascii="Arial" w:hAnsi="Arial" w:cs="Arial"/>
          <w:sz w:val="24"/>
        </w:rPr>
        <w:t xml:space="preserve">The </w:t>
      </w:r>
      <w:r w:rsidR="00197BD3">
        <w:rPr>
          <w:rFonts w:ascii="Arial" w:hAnsi="Arial" w:cs="Arial"/>
          <w:sz w:val="24"/>
        </w:rPr>
        <w:t>adopted regulation</w:t>
      </w:r>
      <w:r w:rsidR="00585221" w:rsidRPr="00585221">
        <w:rPr>
          <w:rFonts w:ascii="Arial" w:hAnsi="Arial" w:cs="Arial"/>
          <w:sz w:val="24"/>
        </w:rPr>
        <w:t xml:space="preserve"> states that the maximum dispensing fee </w:t>
      </w:r>
      <w:r w:rsidR="00197BD3" w:rsidRPr="00585221">
        <w:rPr>
          <w:rFonts w:ascii="Arial" w:hAnsi="Arial" w:cs="Arial"/>
          <w:sz w:val="24"/>
        </w:rPr>
        <w:t xml:space="preserve">payable </w:t>
      </w:r>
      <w:r w:rsidR="00585221" w:rsidRPr="00585221">
        <w:rPr>
          <w:rFonts w:ascii="Arial" w:hAnsi="Arial" w:cs="Arial"/>
          <w:sz w:val="24"/>
        </w:rPr>
        <w:t xml:space="preserve">to a physician dispensing a drug to their patient in accordance with Business and Professions Code section 4170 is $10.05, which is the default fee for dispensing providers that are not on the Medi-Cal NPI file for pharmacies that are eligible for the higher tier fee. </w:t>
      </w:r>
    </w:p>
    <w:p w14:paraId="44CB807D" w14:textId="60117FB0" w:rsidR="00585221" w:rsidRPr="00585221" w:rsidRDefault="00585221" w:rsidP="00585221">
      <w:pPr>
        <w:spacing w:after="240"/>
        <w:jc w:val="left"/>
        <w:rPr>
          <w:rFonts w:ascii="Arial" w:hAnsi="Arial" w:cs="Arial"/>
          <w:bCs/>
          <w:sz w:val="24"/>
        </w:rPr>
      </w:pPr>
      <w:r w:rsidRPr="00585221">
        <w:rPr>
          <w:rFonts w:ascii="Arial" w:hAnsi="Arial" w:cs="Arial"/>
          <w:bCs/>
          <w:sz w:val="24"/>
        </w:rPr>
        <w:t xml:space="preserve">The DWC considered </w:t>
      </w:r>
      <w:r w:rsidR="00197BD3">
        <w:rPr>
          <w:rFonts w:ascii="Arial" w:hAnsi="Arial" w:cs="Arial"/>
          <w:bCs/>
          <w:sz w:val="24"/>
        </w:rPr>
        <w:t>comments received contending</w:t>
      </w:r>
      <w:r w:rsidRPr="00585221">
        <w:rPr>
          <w:rFonts w:ascii="Arial" w:hAnsi="Arial" w:cs="Arial"/>
          <w:bCs/>
          <w:sz w:val="24"/>
        </w:rPr>
        <w:t xml:space="preserve"> that physician dispensed medications warrant a dispensing fee. Medi-Cal does not pay a physician to dispense medications, and therefore also does not pay physicians a dispensing fee. Similarly, Business and Professions Code sections 4183 and 4193 provide that the specified clinics are not eligible for a dispensing fee under the Medi-Cal </w:t>
      </w:r>
      <w:r w:rsidRPr="00585221">
        <w:rPr>
          <w:rFonts w:ascii="Arial" w:hAnsi="Arial" w:cs="Arial"/>
          <w:bCs/>
          <w:sz w:val="24"/>
        </w:rPr>
        <w:lastRenderedPageBreak/>
        <w:t xml:space="preserve">program. Changes made to Labor Code section 5307.1 indicate that the legislature was concerned about inappropriate dispensing by physicians and created additional rules to govern reimbursement for physician dispensed medication, such as the caps set forth in subdivision (e). Research studies cited in the Initial Statement of Reasons Indicate that financial incentives may sometimes skew drug selection and physician dispensing patterns.  The division is aware that physician dispensing may provide a convenience to injured workers and facilitate the early initiation of treatment. Although the employer is required by Labor Code section 5402 subdivision (c) to authorize treatment within one working day of the filing of a claim form, and must pay up to $10,000 in treatment prior to determination of liability, these steps may cause delay in obtaining needed pharmaceuticals in some cases. </w:t>
      </w:r>
      <w:r w:rsidR="00197BD3">
        <w:rPr>
          <w:rFonts w:ascii="Arial" w:hAnsi="Arial" w:cs="Arial"/>
          <w:bCs/>
          <w:sz w:val="24"/>
        </w:rPr>
        <w:t>Physician dispensing may increase patient compliance with treatment.</w:t>
      </w:r>
      <w:r w:rsidRPr="00585221">
        <w:rPr>
          <w:rFonts w:ascii="Arial" w:hAnsi="Arial" w:cs="Arial"/>
          <w:bCs/>
          <w:sz w:val="24"/>
        </w:rPr>
        <w:t xml:space="preserve"> DWC has considered the advantages and disadvantages of providing a dispensing fee to physicians in light of the Business and Professions Code section 4170 that allows a physician to dispense to their own patient for a condition they are treating if the specified requirements are met. Labor Code section 5307.1, subdivisions (e)(7) and (e)(8) provide the DWC Administrative Director with additional authority to adopt fee schedule rules specific to physician dispensing. Given this authority, and controls on inappropriate prescribing that address potential abuse (e.g. utilization review, prospective authorization formulary rule, etc.) the DWC has determined that on balance the considerations favor a</w:t>
      </w:r>
      <w:r w:rsidR="00197BD3">
        <w:rPr>
          <w:rFonts w:ascii="Arial" w:hAnsi="Arial" w:cs="Arial"/>
          <w:bCs/>
          <w:sz w:val="24"/>
        </w:rPr>
        <w:t>llowing a</w:t>
      </w:r>
      <w:r w:rsidRPr="00585221">
        <w:rPr>
          <w:rFonts w:ascii="Arial" w:hAnsi="Arial" w:cs="Arial"/>
          <w:bCs/>
          <w:sz w:val="24"/>
        </w:rPr>
        <w:t xml:space="preserve"> dispensing fee for physician dispensed drugs.  For clarity the maximum allowable dispensing fee of $10.05 is set forth in the regulation; this is the default </w:t>
      </w:r>
      <w:r w:rsidR="00197BD3">
        <w:rPr>
          <w:rFonts w:ascii="Arial" w:hAnsi="Arial" w:cs="Arial"/>
          <w:bCs/>
          <w:sz w:val="24"/>
        </w:rPr>
        <w:t xml:space="preserve">Medi-Cal </w:t>
      </w:r>
      <w:r w:rsidRPr="00585221">
        <w:rPr>
          <w:rFonts w:ascii="Arial" w:hAnsi="Arial" w:cs="Arial"/>
          <w:bCs/>
          <w:sz w:val="24"/>
        </w:rPr>
        <w:t>dispensing fee except where the entity dispensing is a pharmacy whose NPI is listed on the Medi-Cal NPI file applicable to the date of service.</w:t>
      </w:r>
    </w:p>
    <w:p w14:paraId="510B3779" w14:textId="1ADB086D" w:rsidR="00905FCE" w:rsidRPr="00905FCE" w:rsidRDefault="00905FCE" w:rsidP="00905FCE">
      <w:pPr>
        <w:spacing w:after="240"/>
        <w:jc w:val="left"/>
        <w:rPr>
          <w:rFonts w:ascii="Arial" w:hAnsi="Arial" w:cs="Arial"/>
          <w:sz w:val="24"/>
        </w:rPr>
      </w:pPr>
      <w:r w:rsidRPr="00905FCE">
        <w:rPr>
          <w:rFonts w:ascii="Arial" w:hAnsi="Arial" w:cs="Arial"/>
          <w:b/>
          <w:bCs/>
          <w:sz w:val="24"/>
        </w:rPr>
        <w:t>Subdivision (h)</w:t>
      </w:r>
      <w:r w:rsidRPr="00905FCE">
        <w:rPr>
          <w:rFonts w:ascii="Arial" w:hAnsi="Arial" w:cs="Arial"/>
          <w:sz w:val="24"/>
        </w:rPr>
        <w:t>: (previously subdivision (g))</w:t>
      </w:r>
      <w:r>
        <w:rPr>
          <w:rFonts w:ascii="Arial" w:hAnsi="Arial" w:cs="Arial"/>
          <w:sz w:val="24"/>
        </w:rPr>
        <w:t xml:space="preserve"> was</w:t>
      </w:r>
      <w:r w:rsidRPr="00905FCE">
        <w:rPr>
          <w:rFonts w:ascii="Arial" w:hAnsi="Arial" w:cs="Arial"/>
          <w:sz w:val="24"/>
        </w:rPr>
        <w:t xml:space="preserve"> renumbered as (h); there </w:t>
      </w:r>
      <w:r>
        <w:rPr>
          <w:rFonts w:ascii="Arial" w:hAnsi="Arial" w:cs="Arial"/>
          <w:sz w:val="24"/>
        </w:rPr>
        <w:t>wa</w:t>
      </w:r>
      <w:r w:rsidRPr="00905FCE">
        <w:rPr>
          <w:rFonts w:ascii="Arial" w:hAnsi="Arial" w:cs="Arial"/>
          <w:sz w:val="24"/>
        </w:rPr>
        <w:t>s no substantive modification.</w:t>
      </w:r>
    </w:p>
    <w:p w14:paraId="365C09AE" w14:textId="6EE4CCEA" w:rsidR="00905FCE" w:rsidRPr="00905FCE" w:rsidRDefault="00905FCE" w:rsidP="00905FCE">
      <w:pPr>
        <w:spacing w:after="240"/>
        <w:jc w:val="left"/>
        <w:rPr>
          <w:rFonts w:ascii="Arial" w:hAnsi="Arial" w:cs="Arial"/>
          <w:sz w:val="24"/>
        </w:rPr>
      </w:pPr>
      <w:r w:rsidRPr="00905FCE">
        <w:rPr>
          <w:rFonts w:ascii="Arial" w:hAnsi="Arial" w:cs="Arial"/>
          <w:sz w:val="24"/>
        </w:rPr>
        <w:t xml:space="preserve">The previous subdivision (h) </w:t>
      </w:r>
      <w:r>
        <w:rPr>
          <w:rFonts w:ascii="Arial" w:hAnsi="Arial" w:cs="Arial"/>
          <w:sz w:val="24"/>
        </w:rPr>
        <w:t>wa</w:t>
      </w:r>
      <w:r w:rsidRPr="00905FCE">
        <w:rPr>
          <w:rFonts w:ascii="Arial" w:hAnsi="Arial" w:cs="Arial"/>
          <w:sz w:val="24"/>
        </w:rPr>
        <w:t xml:space="preserve">s deleted as the definition and provisions relating to documented paid cost </w:t>
      </w:r>
      <w:r>
        <w:rPr>
          <w:rFonts w:ascii="Arial" w:hAnsi="Arial" w:cs="Arial"/>
          <w:sz w:val="24"/>
        </w:rPr>
        <w:t>were</w:t>
      </w:r>
      <w:r w:rsidRPr="00905FCE">
        <w:rPr>
          <w:rFonts w:ascii="Arial" w:hAnsi="Arial" w:cs="Arial"/>
          <w:sz w:val="24"/>
        </w:rPr>
        <w:t xml:space="preserve"> moved to subdivision (c) as set forth above.</w:t>
      </w:r>
    </w:p>
    <w:p w14:paraId="3AC1ACB2" w14:textId="23DA981E" w:rsidR="00585221" w:rsidRPr="00585221" w:rsidRDefault="00585221" w:rsidP="00585221">
      <w:pPr>
        <w:spacing w:after="240"/>
        <w:jc w:val="left"/>
        <w:rPr>
          <w:rFonts w:ascii="Arial" w:hAnsi="Arial" w:cs="Arial"/>
          <w:sz w:val="24"/>
        </w:rPr>
      </w:pPr>
      <w:r w:rsidRPr="00585221">
        <w:rPr>
          <w:rFonts w:ascii="Arial" w:hAnsi="Arial" w:cs="Arial"/>
          <w:b/>
          <w:sz w:val="24"/>
        </w:rPr>
        <w:t>Subdivision (i)</w:t>
      </w:r>
      <w:r w:rsidRPr="00585221">
        <w:rPr>
          <w:rFonts w:ascii="Arial" w:hAnsi="Arial" w:cs="Arial"/>
          <w:bCs/>
          <w:sz w:val="24"/>
        </w:rPr>
        <w:t xml:space="preserve"> which </w:t>
      </w:r>
      <w:r>
        <w:rPr>
          <w:rFonts w:ascii="Arial" w:hAnsi="Arial" w:cs="Arial"/>
          <w:bCs/>
          <w:sz w:val="24"/>
        </w:rPr>
        <w:t xml:space="preserve">originally </w:t>
      </w:r>
      <w:r w:rsidRPr="00585221">
        <w:rPr>
          <w:rFonts w:ascii="Arial" w:hAnsi="Arial" w:cs="Arial"/>
          <w:bCs/>
          <w:sz w:val="24"/>
        </w:rPr>
        <w:t xml:space="preserve">provided that the Pharmaceutical Fee Data File setting the “lowest cost” and “no substitution cost” drug ingredient rates would be made available on the DWC website, and providing the web address, was deleted. </w:t>
      </w:r>
      <w:r w:rsidRPr="00585221">
        <w:rPr>
          <w:rFonts w:ascii="Arial" w:hAnsi="Arial" w:cs="Arial"/>
          <w:sz w:val="24"/>
        </w:rPr>
        <w:t xml:space="preserve">The </w:t>
      </w:r>
      <w:r>
        <w:rPr>
          <w:rFonts w:ascii="Arial" w:hAnsi="Arial" w:cs="Arial"/>
          <w:sz w:val="24"/>
        </w:rPr>
        <w:t>adopted regulation deletes</w:t>
      </w:r>
      <w:r w:rsidRPr="00585221">
        <w:rPr>
          <w:rFonts w:ascii="Arial" w:hAnsi="Arial" w:cs="Arial"/>
          <w:sz w:val="24"/>
        </w:rPr>
        <w:t xml:space="preserve"> this subdivision </w:t>
      </w:r>
      <w:r>
        <w:rPr>
          <w:rFonts w:ascii="Arial" w:hAnsi="Arial" w:cs="Arial"/>
          <w:sz w:val="24"/>
        </w:rPr>
        <w:t xml:space="preserve">which </w:t>
      </w:r>
      <w:r w:rsidRPr="00585221">
        <w:rPr>
          <w:rFonts w:ascii="Arial" w:hAnsi="Arial" w:cs="Arial"/>
          <w:sz w:val="24"/>
        </w:rPr>
        <w:t xml:space="preserve">is necessary to avoid duplication of these provisions and to streamline the regulations since the provisions </w:t>
      </w:r>
      <w:r>
        <w:rPr>
          <w:rFonts w:ascii="Arial" w:hAnsi="Arial" w:cs="Arial"/>
          <w:sz w:val="24"/>
        </w:rPr>
        <w:t>were</w:t>
      </w:r>
      <w:r w:rsidRPr="00585221">
        <w:rPr>
          <w:rFonts w:ascii="Arial" w:hAnsi="Arial" w:cs="Arial"/>
          <w:sz w:val="24"/>
        </w:rPr>
        <w:t xml:space="preserve"> moved to section 9789.40.1.</w:t>
      </w:r>
    </w:p>
    <w:p w14:paraId="203FBF97" w14:textId="79E2BEC4" w:rsidR="006B4F2F" w:rsidRPr="00F04D41" w:rsidRDefault="006B4F2F" w:rsidP="00D916B2">
      <w:pPr>
        <w:pStyle w:val="Heading2"/>
      </w:pPr>
      <w:r w:rsidRPr="00F04D41">
        <w:t>Section 9789.40.</w:t>
      </w:r>
      <w:r w:rsidR="00D82D1E">
        <w:t>7</w:t>
      </w:r>
      <w:r w:rsidR="0067497B">
        <w:t>.</w:t>
      </w:r>
      <w:r w:rsidRPr="00F04D41">
        <w:t xml:space="preserve"> Compounded Pharmaceuticals Dispensed </w:t>
      </w:r>
      <w:proofErr w:type="gramStart"/>
      <w:r w:rsidR="00586344" w:rsidRPr="00F04D41">
        <w:t>By</w:t>
      </w:r>
      <w:proofErr w:type="gramEnd"/>
      <w:r w:rsidR="00586344" w:rsidRPr="00F04D41">
        <w:t xml:space="preserve"> a Physician </w:t>
      </w:r>
      <w:r w:rsidRPr="00F04D41">
        <w:t xml:space="preserve">on or after </w:t>
      </w:r>
      <w:bookmarkStart w:id="1" w:name="_Hlk184808131"/>
      <w:r w:rsidR="00CA7A36">
        <w:t xml:space="preserve">[Month </w:t>
      </w:r>
      <w:r w:rsidR="00D82D1E">
        <w:t>1</w:t>
      </w:r>
      <w:r w:rsidR="00CF4C9D" w:rsidRPr="00F04D41">
        <w:t xml:space="preserve">, </w:t>
      </w:r>
      <w:r w:rsidR="00D82D1E" w:rsidRPr="00F04D41">
        <w:t>20</w:t>
      </w:r>
      <w:r w:rsidR="00D82D1E">
        <w:t>25</w:t>
      </w:r>
      <w:r w:rsidR="00CA7A36">
        <w:t>]</w:t>
      </w:r>
      <w:r w:rsidR="008E04B0" w:rsidRPr="00F04D41">
        <w:t xml:space="preserve"> </w:t>
      </w:r>
      <w:r w:rsidR="00CF4C9D" w:rsidRPr="00F04D41">
        <w:t>[</w:t>
      </w:r>
      <w:r w:rsidR="00D82D1E">
        <w:t>the first day of the month following</w:t>
      </w:r>
      <w:r w:rsidR="00A1473F">
        <w:t>:</w:t>
      </w:r>
      <w:r w:rsidR="00D82D1E">
        <w:t xml:space="preserve"> 180</w:t>
      </w:r>
      <w:r w:rsidR="00CF4C9D" w:rsidRPr="00F04D41">
        <w:t xml:space="preserve"> days after the amendments are filed with the Secretary of State</w:t>
      </w:r>
      <w:r w:rsidR="003E7AD3">
        <w:t>;</w:t>
      </w:r>
      <w:r w:rsidR="00CF4C9D" w:rsidRPr="00F04D41">
        <w:t xml:space="preserve"> </w:t>
      </w:r>
      <w:r w:rsidR="003E7AD3">
        <w:t>d</w:t>
      </w:r>
      <w:r w:rsidR="00CF4C9D" w:rsidRPr="00F04D41">
        <w:t>ate to be inserted by OAL]</w:t>
      </w:r>
      <w:bookmarkEnd w:id="1"/>
      <w:r w:rsidR="0067497B">
        <w:t>.</w:t>
      </w:r>
    </w:p>
    <w:p w14:paraId="1160601C" w14:textId="77777777" w:rsidR="00D82D1E" w:rsidRPr="00D82D1E" w:rsidRDefault="00D82D1E" w:rsidP="00D82D1E">
      <w:pPr>
        <w:spacing w:after="240"/>
        <w:jc w:val="left"/>
        <w:rPr>
          <w:rFonts w:ascii="Arial" w:hAnsi="Arial" w:cs="Arial"/>
          <w:sz w:val="24"/>
        </w:rPr>
      </w:pPr>
      <w:r w:rsidRPr="00D82D1E">
        <w:rPr>
          <w:rFonts w:ascii="Arial" w:hAnsi="Arial" w:cs="Arial"/>
          <w:bCs/>
          <w:sz w:val="24"/>
        </w:rPr>
        <w:t xml:space="preserve">This section is renumbered from section 9789.40.6 to 9789.40.7.  In order to provide adequate time for implementation, the heading is modified </w:t>
      </w:r>
      <w:r w:rsidRPr="00D82D1E">
        <w:rPr>
          <w:rFonts w:ascii="Arial" w:hAnsi="Arial" w:cs="Arial"/>
          <w:sz w:val="24"/>
        </w:rPr>
        <w:t xml:space="preserve">to extend </w:t>
      </w:r>
      <w:r w:rsidRPr="00D82D1E">
        <w:rPr>
          <w:rFonts w:ascii="Arial" w:hAnsi="Arial" w:cs="Arial"/>
          <w:sz w:val="24"/>
        </w:rPr>
        <w:lastRenderedPageBreak/>
        <w:t>effective date of changes from 90 days to 180 days (specifying the first day of the month following), and to indicate that this will be in the year 2025.</w:t>
      </w:r>
    </w:p>
    <w:p w14:paraId="6D11637C" w14:textId="045B643A" w:rsidR="00D82D1E" w:rsidRDefault="00D82D1E" w:rsidP="00D82D1E">
      <w:pPr>
        <w:spacing w:after="240"/>
        <w:jc w:val="left"/>
        <w:rPr>
          <w:rFonts w:ascii="Arial" w:hAnsi="Arial" w:cs="Arial"/>
          <w:sz w:val="24"/>
        </w:rPr>
      </w:pPr>
      <w:r w:rsidRPr="00D82D1E">
        <w:rPr>
          <w:rFonts w:ascii="Arial" w:hAnsi="Arial" w:cs="Arial"/>
          <w:b/>
          <w:sz w:val="24"/>
        </w:rPr>
        <w:t>Subdivision (a)</w:t>
      </w:r>
      <w:r w:rsidRPr="00D82D1E">
        <w:rPr>
          <w:rFonts w:ascii="Arial" w:hAnsi="Arial" w:cs="Arial"/>
          <w:bCs/>
          <w:sz w:val="24"/>
        </w:rPr>
        <w:t xml:space="preserve"> </w:t>
      </w:r>
      <w:r>
        <w:rPr>
          <w:rFonts w:ascii="Arial" w:hAnsi="Arial" w:cs="Arial"/>
          <w:sz w:val="24"/>
        </w:rPr>
        <w:t>was</w:t>
      </w:r>
      <w:r w:rsidRPr="00D82D1E">
        <w:rPr>
          <w:rFonts w:ascii="Arial" w:hAnsi="Arial" w:cs="Arial"/>
          <w:sz w:val="24"/>
        </w:rPr>
        <w:t xml:space="preserve"> revised to modify the formula for determining maximum allowable fee for a physician dispensed compounded drug by including provision for “the dispending, compounding, and sterility fees” applicable pursuant to section 9789.40.4. Section 9789.40.4 as </w:t>
      </w:r>
      <w:r>
        <w:rPr>
          <w:rFonts w:ascii="Arial" w:hAnsi="Arial" w:cs="Arial"/>
          <w:sz w:val="24"/>
        </w:rPr>
        <w:t>adopted</w:t>
      </w:r>
      <w:r w:rsidRPr="00D82D1E">
        <w:rPr>
          <w:rFonts w:ascii="Arial" w:hAnsi="Arial" w:cs="Arial"/>
          <w:sz w:val="24"/>
        </w:rPr>
        <w:t xml:space="preserve"> sets forth the rules for compound reimbursement (e.g. container count, dispensing fee), including the rules for applying the Route of Administration Compounding Fee / Sterility Fee Table in subdivision (e) and the Dosage Form Compounding Fee Table in subdivision (f) for both pharmacy dispensed and physician dispensed compounded drugs. DWC determined that on balance of factors, it is appropriate to allow dispensing, compounding, and sterility fees to be considered in the formula for determining the maximum fee for a physician-dispensed compounded drug. The explanation of the basis for the determination to allow dispensing, compounding, and sterility fees, set forth above in relation to sections 9789.40.4, 9789.40.6, is incorporated by reference for section 9789.40.7. It is necessary to cross reference to “the fees applicable to a physician pursuant to section 9789.40.4” in order to streamline the regulations and avoid duplication of provisions.</w:t>
      </w:r>
    </w:p>
    <w:p w14:paraId="6BC91BBA" w14:textId="43B7DBE6" w:rsidR="00E51603" w:rsidRPr="00E51603" w:rsidRDefault="00E51603" w:rsidP="00E51603">
      <w:pPr>
        <w:spacing w:after="240"/>
        <w:jc w:val="left"/>
        <w:rPr>
          <w:rFonts w:ascii="Arial" w:hAnsi="Arial" w:cs="Arial"/>
          <w:bCs/>
          <w:sz w:val="24"/>
        </w:rPr>
      </w:pPr>
      <w:r w:rsidRPr="00E51603">
        <w:rPr>
          <w:rFonts w:ascii="Arial" w:hAnsi="Arial" w:cs="Arial"/>
          <w:bCs/>
          <w:sz w:val="24"/>
        </w:rPr>
        <w:t xml:space="preserve">The </w:t>
      </w:r>
      <w:r>
        <w:rPr>
          <w:rFonts w:ascii="Arial" w:hAnsi="Arial" w:cs="Arial"/>
          <w:bCs/>
          <w:sz w:val="24"/>
        </w:rPr>
        <w:t xml:space="preserve">adopted </w:t>
      </w:r>
      <w:r w:rsidRPr="00E51603">
        <w:rPr>
          <w:rFonts w:ascii="Arial" w:hAnsi="Arial" w:cs="Arial"/>
          <w:bCs/>
          <w:sz w:val="24"/>
        </w:rPr>
        <w:t xml:space="preserve">text </w:t>
      </w:r>
      <w:r>
        <w:rPr>
          <w:rFonts w:ascii="Arial" w:hAnsi="Arial" w:cs="Arial"/>
          <w:bCs/>
          <w:sz w:val="24"/>
        </w:rPr>
        <w:t>was</w:t>
      </w:r>
      <w:r w:rsidRPr="00E51603">
        <w:rPr>
          <w:rFonts w:ascii="Arial" w:hAnsi="Arial" w:cs="Arial"/>
          <w:bCs/>
          <w:sz w:val="24"/>
        </w:rPr>
        <w:t xml:space="preserve"> modified for clarity by moving language from subdivision (c) to subdivision (a)(2) stating that drug ingredient costs are “calculated based on units used in the compound.” The provision “on the date the compound drug is dispensed” is deleted as redundant to the provisions of section 9789.40.1 as </w:t>
      </w:r>
      <w:r>
        <w:rPr>
          <w:rFonts w:ascii="Arial" w:hAnsi="Arial" w:cs="Arial"/>
          <w:bCs/>
          <w:sz w:val="24"/>
        </w:rPr>
        <w:t>adopted</w:t>
      </w:r>
      <w:r w:rsidRPr="00E51603">
        <w:rPr>
          <w:rFonts w:ascii="Arial" w:hAnsi="Arial" w:cs="Arial"/>
          <w:bCs/>
          <w:sz w:val="24"/>
        </w:rPr>
        <w:t>, which states that the “</w:t>
      </w:r>
      <w:r w:rsidRPr="00E51603">
        <w:rPr>
          <w:rFonts w:ascii="Arial" w:hAnsi="Arial" w:cs="Arial"/>
          <w:iCs/>
          <w:sz w:val="24"/>
        </w:rPr>
        <w:t xml:space="preserve">costs for each NDC are effective for products dispensed on or after the effective date listed in the Pharmaceutical Fee Data File.” </w:t>
      </w:r>
      <w:r w:rsidRPr="00E51603">
        <w:rPr>
          <w:rFonts w:ascii="Arial" w:hAnsi="Arial" w:cs="Arial"/>
          <w:bCs/>
          <w:sz w:val="24"/>
        </w:rPr>
        <w:t>Moving the language streamline</w:t>
      </w:r>
      <w:r>
        <w:rPr>
          <w:rFonts w:ascii="Arial" w:hAnsi="Arial" w:cs="Arial"/>
          <w:bCs/>
          <w:sz w:val="24"/>
        </w:rPr>
        <w:t>d</w:t>
      </w:r>
      <w:r w:rsidRPr="00E51603">
        <w:rPr>
          <w:rFonts w:ascii="Arial" w:hAnsi="Arial" w:cs="Arial"/>
          <w:bCs/>
          <w:sz w:val="24"/>
        </w:rPr>
        <w:t xml:space="preserve"> the regulatory text</w:t>
      </w:r>
      <w:r>
        <w:rPr>
          <w:rFonts w:ascii="Arial" w:hAnsi="Arial" w:cs="Arial"/>
          <w:bCs/>
          <w:sz w:val="24"/>
        </w:rPr>
        <w:t xml:space="preserve"> and avoided duplication</w:t>
      </w:r>
      <w:r w:rsidRPr="00E51603">
        <w:rPr>
          <w:rFonts w:ascii="Arial" w:hAnsi="Arial" w:cs="Arial"/>
          <w:bCs/>
          <w:sz w:val="24"/>
        </w:rPr>
        <w:t xml:space="preserve"> as the concept does not need to be repeated in subdivision (c); the move d</w:t>
      </w:r>
      <w:r>
        <w:rPr>
          <w:rFonts w:ascii="Arial" w:hAnsi="Arial" w:cs="Arial"/>
          <w:bCs/>
          <w:sz w:val="24"/>
        </w:rPr>
        <w:t>id</w:t>
      </w:r>
      <w:r w:rsidRPr="00E51603">
        <w:rPr>
          <w:rFonts w:ascii="Arial" w:hAnsi="Arial" w:cs="Arial"/>
          <w:bCs/>
          <w:sz w:val="24"/>
        </w:rPr>
        <w:t xml:space="preserve"> not make a substantive change to the formula.</w:t>
      </w:r>
    </w:p>
    <w:p w14:paraId="40E531BA" w14:textId="4BC4A21F" w:rsidR="00E51603" w:rsidRPr="00E51603" w:rsidRDefault="00E51603" w:rsidP="00E51603">
      <w:pPr>
        <w:spacing w:after="240"/>
        <w:jc w:val="left"/>
        <w:rPr>
          <w:rFonts w:ascii="Arial" w:hAnsi="Arial" w:cs="Arial"/>
          <w:sz w:val="24"/>
        </w:rPr>
      </w:pPr>
      <w:r w:rsidRPr="00E51603">
        <w:rPr>
          <w:rFonts w:ascii="Arial" w:hAnsi="Arial" w:cs="Arial"/>
          <w:b/>
          <w:bCs/>
          <w:sz w:val="24"/>
        </w:rPr>
        <w:t>Subdivision (c)</w:t>
      </w:r>
      <w:r w:rsidRPr="00E51603">
        <w:rPr>
          <w:rFonts w:ascii="Arial" w:hAnsi="Arial" w:cs="Arial"/>
          <w:sz w:val="24"/>
        </w:rPr>
        <w:t xml:space="preserve"> which defines the drug ingredient cost for a compounded drug dispensed by a physician for one prong of the formula (subdivision (a)(2)) previously proposed to adopt different formulas for a compound composed of a finished drug product (subdivision (c)(1)), composed of an unfinished drug product (subdivision (c)(2)), and composed of a combination of finished and unfinished drug products (subdivision (c)(3).) </w:t>
      </w:r>
      <w:r w:rsidR="006A4192">
        <w:rPr>
          <w:rFonts w:ascii="Arial" w:hAnsi="Arial" w:cs="Arial"/>
          <w:sz w:val="24"/>
        </w:rPr>
        <w:t>The unfinished drug products were originally proposed to be priced at a maximum documented paid cost plus 10%</w:t>
      </w:r>
      <w:r w:rsidR="00B24FCE">
        <w:rPr>
          <w:rFonts w:ascii="Arial" w:hAnsi="Arial" w:cs="Arial"/>
          <w:sz w:val="24"/>
        </w:rPr>
        <w:t xml:space="preserve"> for the subdivision (a)(2) calculation</w:t>
      </w:r>
      <w:r w:rsidR="006A4192">
        <w:rPr>
          <w:rFonts w:ascii="Arial" w:hAnsi="Arial" w:cs="Arial"/>
          <w:sz w:val="24"/>
        </w:rPr>
        <w:t>.</w:t>
      </w:r>
      <w:r w:rsidRPr="00E51603">
        <w:rPr>
          <w:rFonts w:ascii="Arial" w:hAnsi="Arial" w:cs="Arial"/>
          <w:sz w:val="24"/>
        </w:rPr>
        <w:t xml:space="preserve"> Upon evaluation of comments received relating to the complexity of distinguishing finished and unfinished drug products, and in light of the Labor Code statutory provisions, the </w:t>
      </w:r>
      <w:r w:rsidR="006A4192">
        <w:rPr>
          <w:rFonts w:ascii="Arial" w:hAnsi="Arial" w:cs="Arial"/>
          <w:sz w:val="24"/>
        </w:rPr>
        <w:t>adopted regulation</w:t>
      </w:r>
      <w:r w:rsidRPr="00E51603">
        <w:rPr>
          <w:rFonts w:ascii="Arial" w:hAnsi="Arial" w:cs="Arial"/>
          <w:sz w:val="24"/>
        </w:rPr>
        <w:t xml:space="preserve"> eliminate</w:t>
      </w:r>
      <w:r w:rsidR="006A4192">
        <w:rPr>
          <w:rFonts w:ascii="Arial" w:hAnsi="Arial" w:cs="Arial"/>
          <w:sz w:val="24"/>
        </w:rPr>
        <w:t>d</w:t>
      </w:r>
      <w:r w:rsidRPr="00E51603">
        <w:rPr>
          <w:rFonts w:ascii="Arial" w:hAnsi="Arial" w:cs="Arial"/>
          <w:sz w:val="24"/>
        </w:rPr>
        <w:t xml:space="preserve"> the distinction between finished drug products and unfinished drug products. The elimination of the distinction results in modification of subdivision (c)(1), and deletion of (c)(2) and (c)(3).</w:t>
      </w:r>
    </w:p>
    <w:p w14:paraId="058FB345" w14:textId="3E0A73D8" w:rsidR="00B24FCE" w:rsidRDefault="00E51603" w:rsidP="00E51603">
      <w:pPr>
        <w:spacing w:after="240"/>
        <w:jc w:val="left"/>
        <w:rPr>
          <w:rFonts w:ascii="Arial" w:hAnsi="Arial" w:cs="Arial"/>
          <w:bCs/>
          <w:sz w:val="24"/>
        </w:rPr>
      </w:pPr>
      <w:r w:rsidRPr="00E51603">
        <w:rPr>
          <w:rFonts w:ascii="Arial" w:hAnsi="Arial" w:cs="Arial"/>
          <w:b/>
          <w:sz w:val="24"/>
        </w:rPr>
        <w:t xml:space="preserve">Subdivision (c), subparagraph (c)(1) </w:t>
      </w:r>
      <w:r w:rsidRPr="00E51603">
        <w:rPr>
          <w:rFonts w:ascii="Arial" w:hAnsi="Arial" w:cs="Arial"/>
          <w:bCs/>
          <w:sz w:val="24"/>
        </w:rPr>
        <w:t xml:space="preserve">definition of drug ingredient cost for compounded drug product(s) </w:t>
      </w:r>
      <w:r w:rsidR="00B24FCE">
        <w:rPr>
          <w:rFonts w:ascii="Arial" w:hAnsi="Arial" w:cs="Arial"/>
          <w:bCs/>
          <w:sz w:val="24"/>
        </w:rPr>
        <w:t xml:space="preserve">for purposes of subdivision (a)(2) </w:t>
      </w:r>
      <w:r w:rsidR="006A4192">
        <w:rPr>
          <w:rFonts w:ascii="Arial" w:hAnsi="Arial" w:cs="Arial"/>
          <w:bCs/>
          <w:sz w:val="24"/>
        </w:rPr>
        <w:t>wa</w:t>
      </w:r>
      <w:r w:rsidRPr="00E51603">
        <w:rPr>
          <w:rFonts w:ascii="Arial" w:hAnsi="Arial" w:cs="Arial"/>
          <w:bCs/>
          <w:sz w:val="24"/>
        </w:rPr>
        <w:t xml:space="preserve">s modified </w:t>
      </w:r>
      <w:r w:rsidR="00B24FCE">
        <w:rPr>
          <w:rFonts w:ascii="Arial" w:hAnsi="Arial" w:cs="Arial"/>
          <w:bCs/>
          <w:sz w:val="24"/>
        </w:rPr>
        <w:t xml:space="preserve">from the original proposal </w:t>
      </w:r>
      <w:r w:rsidRPr="00E51603">
        <w:rPr>
          <w:rFonts w:ascii="Arial" w:hAnsi="Arial" w:cs="Arial"/>
          <w:bCs/>
          <w:sz w:val="24"/>
        </w:rPr>
        <w:t xml:space="preserve">to delete the phrase “calculated based on units used in </w:t>
      </w:r>
      <w:r w:rsidRPr="00E51603">
        <w:rPr>
          <w:rFonts w:ascii="Arial" w:hAnsi="Arial" w:cs="Arial"/>
          <w:bCs/>
          <w:sz w:val="24"/>
        </w:rPr>
        <w:lastRenderedPageBreak/>
        <w:t xml:space="preserve">the compound, on the date the compound drug is dispensed” </w:t>
      </w:r>
      <w:r w:rsidR="00C960EF">
        <w:rPr>
          <w:rFonts w:ascii="Arial" w:hAnsi="Arial" w:cs="Arial"/>
          <w:bCs/>
          <w:sz w:val="24"/>
        </w:rPr>
        <w:t>because the phrase</w:t>
      </w:r>
      <w:r w:rsidRPr="00E51603">
        <w:rPr>
          <w:rFonts w:ascii="Arial" w:hAnsi="Arial" w:cs="Arial"/>
          <w:bCs/>
          <w:sz w:val="24"/>
        </w:rPr>
        <w:t xml:space="preserve"> “calculated based on units used in the compound” </w:t>
      </w:r>
      <w:r w:rsidR="00C960EF">
        <w:rPr>
          <w:rFonts w:ascii="Arial" w:hAnsi="Arial" w:cs="Arial"/>
          <w:bCs/>
          <w:sz w:val="24"/>
        </w:rPr>
        <w:t>wa</w:t>
      </w:r>
      <w:r w:rsidRPr="00E51603">
        <w:rPr>
          <w:rFonts w:ascii="Arial" w:hAnsi="Arial" w:cs="Arial"/>
          <w:bCs/>
          <w:sz w:val="24"/>
        </w:rPr>
        <w:t>s moved to subdivision (a) for clarity.</w:t>
      </w:r>
    </w:p>
    <w:p w14:paraId="1CEB1A60" w14:textId="523DCC6A" w:rsidR="00B24FCE" w:rsidRPr="00B24FCE" w:rsidRDefault="00B24FCE" w:rsidP="00B24FCE">
      <w:pPr>
        <w:spacing w:after="240"/>
        <w:jc w:val="left"/>
        <w:rPr>
          <w:rFonts w:ascii="Arial" w:hAnsi="Arial" w:cs="Arial"/>
          <w:bCs/>
          <w:sz w:val="24"/>
        </w:rPr>
      </w:pPr>
      <w:r>
        <w:rPr>
          <w:rFonts w:ascii="Arial" w:hAnsi="Arial" w:cs="Arial"/>
          <w:bCs/>
          <w:sz w:val="24"/>
        </w:rPr>
        <w:t xml:space="preserve">In subdivision (c)(1) the adopted regulation references </w:t>
      </w:r>
      <w:r w:rsidRPr="00B24FCE">
        <w:rPr>
          <w:rFonts w:ascii="Arial" w:hAnsi="Arial" w:cs="Arial"/>
          <w:bCs/>
          <w:sz w:val="24"/>
        </w:rPr>
        <w:t>the “lowest cost” and “no substitution cost” as set forth in the Pharmaceutical Fee Data File</w:t>
      </w:r>
      <w:r>
        <w:rPr>
          <w:rFonts w:ascii="Arial" w:hAnsi="Arial" w:cs="Arial"/>
          <w:bCs/>
          <w:sz w:val="24"/>
        </w:rPr>
        <w:t xml:space="preserve"> for purposes of the “drug ingredient cost” under the (a)(2) prong of the physician compounded drug formula. The “no substitution” language was added to </w:t>
      </w:r>
      <w:r w:rsidRPr="00B24FCE">
        <w:rPr>
          <w:rFonts w:ascii="Arial" w:hAnsi="Arial" w:cs="Arial"/>
          <w:bCs/>
          <w:sz w:val="24"/>
        </w:rPr>
        <w:t>correc</w:t>
      </w:r>
      <w:r>
        <w:rPr>
          <w:rFonts w:ascii="Arial" w:hAnsi="Arial" w:cs="Arial"/>
          <w:bCs/>
          <w:sz w:val="24"/>
        </w:rPr>
        <w:t>t</w:t>
      </w:r>
      <w:r w:rsidRPr="00B24FCE">
        <w:rPr>
          <w:rFonts w:ascii="Arial" w:hAnsi="Arial" w:cs="Arial"/>
          <w:bCs/>
          <w:sz w:val="24"/>
        </w:rPr>
        <w:t xml:space="preserve"> an apparent oversight in the initial 45-day proposal which unintentionally omitted the “no substitution cost” for a compounded finished drug product. Th</w:t>
      </w:r>
      <w:r>
        <w:rPr>
          <w:rFonts w:ascii="Arial" w:hAnsi="Arial" w:cs="Arial"/>
          <w:bCs/>
          <w:sz w:val="24"/>
        </w:rPr>
        <w:t>e adoption of the “no substitution cost”</w:t>
      </w:r>
      <w:r w:rsidRPr="00B24FCE">
        <w:rPr>
          <w:rFonts w:ascii="Arial" w:hAnsi="Arial" w:cs="Arial"/>
          <w:bCs/>
          <w:sz w:val="24"/>
        </w:rPr>
        <w:t xml:space="preserve"> is necessary to ensure that a physician who has determined that a brand name finished drug product is medically necessary, and who has complied with the formulary requirements for physicians in sections 9792.7.7 and 9792.27.8, will be able to have the “no substitution” cost included in the formula for calculation of the fee for the compounded drug product as specified</w:t>
      </w:r>
      <w:r>
        <w:rPr>
          <w:rFonts w:ascii="Arial" w:hAnsi="Arial" w:cs="Arial"/>
          <w:bCs/>
          <w:sz w:val="24"/>
        </w:rPr>
        <w:t>.</w:t>
      </w:r>
      <w:r w:rsidRPr="00B24FCE">
        <w:rPr>
          <w:rFonts w:ascii="Arial" w:hAnsi="Arial" w:cs="Arial"/>
          <w:bCs/>
          <w:sz w:val="24"/>
        </w:rPr>
        <w:t xml:space="preserve"> This is necessary to support the injured worker’s access to appropriate medications.</w:t>
      </w:r>
    </w:p>
    <w:p w14:paraId="7FD58196" w14:textId="77777777" w:rsidR="00AA5F7C" w:rsidRDefault="00E51603" w:rsidP="00E51603">
      <w:pPr>
        <w:spacing w:after="240"/>
        <w:jc w:val="left"/>
        <w:rPr>
          <w:rFonts w:ascii="Arial" w:hAnsi="Arial" w:cs="Arial"/>
          <w:iCs/>
          <w:sz w:val="24"/>
        </w:rPr>
      </w:pPr>
      <w:r w:rsidRPr="00E51603">
        <w:rPr>
          <w:rFonts w:ascii="Arial" w:hAnsi="Arial" w:cs="Arial"/>
          <w:b/>
          <w:sz w:val="24"/>
        </w:rPr>
        <w:t>Subdivision (c), subparagraphs (c)(2) and (c)(3)</w:t>
      </w:r>
      <w:r w:rsidRPr="00E51603">
        <w:rPr>
          <w:rFonts w:ascii="Arial" w:hAnsi="Arial" w:cs="Arial"/>
          <w:bCs/>
          <w:sz w:val="24"/>
        </w:rPr>
        <w:t xml:space="preserve"> as </w:t>
      </w:r>
      <w:r w:rsidR="00C960EF">
        <w:rPr>
          <w:rFonts w:ascii="Arial" w:hAnsi="Arial" w:cs="Arial"/>
          <w:bCs/>
          <w:sz w:val="24"/>
        </w:rPr>
        <w:t>originally</w:t>
      </w:r>
      <w:r w:rsidRPr="00E51603">
        <w:rPr>
          <w:rFonts w:ascii="Arial" w:hAnsi="Arial" w:cs="Arial"/>
          <w:bCs/>
          <w:sz w:val="24"/>
        </w:rPr>
        <w:t xml:space="preserve"> proposed </w:t>
      </w:r>
      <w:r w:rsidR="00C960EF">
        <w:rPr>
          <w:rFonts w:ascii="Arial" w:hAnsi="Arial" w:cs="Arial"/>
          <w:bCs/>
          <w:sz w:val="24"/>
        </w:rPr>
        <w:t>we</w:t>
      </w:r>
      <w:r w:rsidRPr="00E51603">
        <w:rPr>
          <w:rFonts w:ascii="Arial" w:hAnsi="Arial" w:cs="Arial"/>
          <w:bCs/>
          <w:sz w:val="24"/>
        </w:rPr>
        <w:t>re deleted</w:t>
      </w:r>
      <w:r w:rsidRPr="00E51603">
        <w:rPr>
          <w:rFonts w:ascii="Arial" w:hAnsi="Arial" w:cs="Arial"/>
          <w:iCs/>
          <w:sz w:val="24"/>
        </w:rPr>
        <w:t xml:space="preserve"> because the </w:t>
      </w:r>
      <w:r w:rsidR="00C960EF">
        <w:rPr>
          <w:rFonts w:ascii="Arial" w:hAnsi="Arial" w:cs="Arial"/>
          <w:iCs/>
          <w:sz w:val="24"/>
        </w:rPr>
        <w:t xml:space="preserve">adopted </w:t>
      </w:r>
      <w:r w:rsidRPr="00E51603">
        <w:rPr>
          <w:rFonts w:ascii="Arial" w:hAnsi="Arial" w:cs="Arial"/>
          <w:iCs/>
          <w:sz w:val="24"/>
        </w:rPr>
        <w:t xml:space="preserve">formula </w:t>
      </w:r>
      <w:r w:rsidR="00C960EF">
        <w:rPr>
          <w:rFonts w:ascii="Arial" w:hAnsi="Arial" w:cs="Arial"/>
          <w:iCs/>
          <w:sz w:val="24"/>
        </w:rPr>
        <w:t>does not</w:t>
      </w:r>
      <w:r w:rsidRPr="00E51603">
        <w:rPr>
          <w:rFonts w:ascii="Arial" w:hAnsi="Arial" w:cs="Arial"/>
          <w:iCs/>
          <w:sz w:val="24"/>
        </w:rPr>
        <w:t xml:space="preserve"> distinguish the drug ingredient cost based on whether the compound is composed of finished drug products or unfinished drug products. This modification will result in the finished drug products being priced at the lowest cost, or no substitution cost for a brand name drug where the applicable prerequisites are met, and will result in the unfinished drug products being priced at the “lowest cost” as the brand name concept will not apply. This will align most closely with the Medi-Cal drug ingredient fee methodology (lowest of: NADAC or WAC +0% if NADAC does not exist, FUL, MAIC.) Labor Code section 5307.1, subdivision (d) states in relevant part:</w:t>
      </w:r>
    </w:p>
    <w:p w14:paraId="1F72D242" w14:textId="77777777" w:rsidR="00AA5F7C" w:rsidRDefault="00E51603" w:rsidP="00AA5F7C">
      <w:pPr>
        <w:spacing w:after="240"/>
        <w:ind w:left="720"/>
        <w:jc w:val="left"/>
        <w:rPr>
          <w:rFonts w:ascii="Arial" w:hAnsi="Arial" w:cs="Arial"/>
          <w:iCs/>
          <w:sz w:val="24"/>
        </w:rPr>
      </w:pPr>
      <w:r w:rsidRPr="00E51603">
        <w:rPr>
          <w:rFonts w:ascii="Arial" w:hAnsi="Arial" w:cs="Arial"/>
          <w:iCs/>
          <w:sz w:val="24"/>
        </w:rPr>
        <w:t>“If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p>
    <w:p w14:paraId="3BFFC182" w14:textId="457587C5" w:rsidR="00E51603" w:rsidRPr="00E51603" w:rsidRDefault="00E51603" w:rsidP="00E51603">
      <w:pPr>
        <w:spacing w:after="240"/>
        <w:jc w:val="left"/>
        <w:rPr>
          <w:rFonts w:ascii="Arial" w:hAnsi="Arial" w:cs="Arial"/>
          <w:iCs/>
          <w:sz w:val="24"/>
        </w:rPr>
      </w:pPr>
      <w:r w:rsidRPr="00E51603">
        <w:rPr>
          <w:rFonts w:ascii="Arial" w:hAnsi="Arial" w:cs="Arial"/>
          <w:iCs/>
          <w:sz w:val="24"/>
        </w:rPr>
        <w:t xml:space="preserve">Although Medi-Cal does not pay for dispensed compounded drugs utilizing bulk active pharmaceutical ingredients, it does pay for compounded drugs utilizing finished FDA-approved drugs and does pay for a limited number of bulk drug products that are not active pharmaceutical ingredients, for example excipients (such as flavoring agents, sterile water, etc.) used in the compound. The </w:t>
      </w:r>
      <w:r w:rsidR="00C960EF">
        <w:rPr>
          <w:rFonts w:ascii="Arial" w:hAnsi="Arial" w:cs="Arial"/>
          <w:iCs/>
          <w:sz w:val="24"/>
        </w:rPr>
        <w:t>adopted regulation</w:t>
      </w:r>
      <w:r w:rsidRPr="00E51603">
        <w:rPr>
          <w:rFonts w:ascii="Arial" w:hAnsi="Arial" w:cs="Arial"/>
          <w:iCs/>
          <w:sz w:val="24"/>
        </w:rPr>
        <w:t xml:space="preserve"> which uses the “lowest cost” formula for the unfinished compound drug ingredient products not covered by Medi-Cal most closely aligns with what Medi-Cal would pay for drugs that use comparable resources. In addition, utilizing the same formula for the finished and unfinished compounded drug ingredients</w:t>
      </w:r>
      <w:r w:rsidR="00AA5F7C">
        <w:rPr>
          <w:rFonts w:ascii="Arial" w:hAnsi="Arial" w:cs="Arial"/>
          <w:iCs/>
          <w:sz w:val="24"/>
        </w:rPr>
        <w:t xml:space="preserve"> for the subdivision (a)(2) part of the formula</w:t>
      </w:r>
      <w:r w:rsidRPr="00E51603">
        <w:rPr>
          <w:rFonts w:ascii="Arial" w:hAnsi="Arial" w:cs="Arial"/>
          <w:iCs/>
          <w:sz w:val="24"/>
        </w:rPr>
        <w:t xml:space="preserve"> will streamline the billing and payment process. For physician-dispensed compounded drugs, the maximum allowable formula additionally includes a limitation of 300% of documented paid cost, not to </w:t>
      </w:r>
      <w:r w:rsidRPr="00E51603">
        <w:rPr>
          <w:rFonts w:ascii="Arial" w:hAnsi="Arial" w:cs="Arial"/>
          <w:iCs/>
          <w:sz w:val="24"/>
        </w:rPr>
        <w:lastRenderedPageBreak/>
        <w:t>exceed $20 above documented paid cost, to carry out the provisions of Labor Code section 5307.1(e)(1).</w:t>
      </w:r>
    </w:p>
    <w:p w14:paraId="5DAF6720" w14:textId="68097ADA" w:rsidR="00E51603" w:rsidRPr="00E51603" w:rsidRDefault="00E51603" w:rsidP="00E51603">
      <w:pPr>
        <w:spacing w:after="240"/>
        <w:jc w:val="left"/>
        <w:rPr>
          <w:rFonts w:ascii="Arial" w:hAnsi="Arial" w:cs="Arial"/>
          <w:iCs/>
          <w:sz w:val="24"/>
        </w:rPr>
      </w:pPr>
      <w:r w:rsidRPr="00E51603">
        <w:rPr>
          <w:rFonts w:ascii="Arial" w:hAnsi="Arial" w:cs="Arial"/>
          <w:iCs/>
          <w:sz w:val="24"/>
        </w:rPr>
        <w:t xml:space="preserve">The Pharmaceutical Fee Data File </w:t>
      </w:r>
      <w:r w:rsidR="00C960EF">
        <w:rPr>
          <w:rFonts w:ascii="Arial" w:hAnsi="Arial" w:cs="Arial"/>
          <w:iCs/>
          <w:sz w:val="24"/>
        </w:rPr>
        <w:t>structure wa</w:t>
      </w:r>
      <w:r w:rsidRPr="00E51603">
        <w:rPr>
          <w:rFonts w:ascii="Arial" w:hAnsi="Arial" w:cs="Arial"/>
          <w:iCs/>
          <w:sz w:val="24"/>
        </w:rPr>
        <w:t xml:space="preserve">s modified to add the </w:t>
      </w:r>
      <w:r w:rsidRPr="00E51603">
        <w:rPr>
          <w:rFonts w:ascii="Arial" w:hAnsi="Arial" w:cs="Arial"/>
          <w:sz w:val="24"/>
        </w:rPr>
        <w:t xml:space="preserve">unfinished bulk </w:t>
      </w:r>
      <w:r w:rsidRPr="00E51603">
        <w:rPr>
          <w:rFonts w:ascii="Arial" w:hAnsi="Arial" w:cs="Arial"/>
          <w:iCs/>
          <w:sz w:val="24"/>
        </w:rPr>
        <w:t>pharmaceutical ingredients utilized in compounded drugs and aligns with the language of the regulation.</w:t>
      </w:r>
    </w:p>
    <w:p w14:paraId="2D141ABB" w14:textId="5F80414C" w:rsidR="00E51603" w:rsidRPr="00E51603" w:rsidRDefault="00E51603" w:rsidP="00E51603">
      <w:pPr>
        <w:spacing w:after="240"/>
        <w:jc w:val="left"/>
        <w:rPr>
          <w:rFonts w:ascii="Arial" w:hAnsi="Arial" w:cs="Arial"/>
          <w:iCs/>
          <w:sz w:val="24"/>
        </w:rPr>
      </w:pPr>
      <w:r w:rsidRPr="00E51603">
        <w:rPr>
          <w:rFonts w:ascii="Arial" w:hAnsi="Arial" w:cs="Arial"/>
          <w:iCs/>
          <w:sz w:val="24"/>
        </w:rPr>
        <w:t xml:space="preserve">A new subparagraph (c)(2) </w:t>
      </w:r>
      <w:r w:rsidR="00C960EF">
        <w:rPr>
          <w:rFonts w:ascii="Arial" w:hAnsi="Arial" w:cs="Arial"/>
          <w:iCs/>
          <w:sz w:val="24"/>
        </w:rPr>
        <w:t>wa</w:t>
      </w:r>
      <w:r w:rsidRPr="00E51603">
        <w:rPr>
          <w:rFonts w:ascii="Arial" w:hAnsi="Arial" w:cs="Arial"/>
          <w:iCs/>
          <w:sz w:val="24"/>
        </w:rPr>
        <w:t xml:space="preserve">s added </w:t>
      </w:r>
      <w:r w:rsidR="00C960EF">
        <w:rPr>
          <w:rFonts w:ascii="Arial" w:hAnsi="Arial" w:cs="Arial"/>
          <w:iCs/>
          <w:sz w:val="24"/>
        </w:rPr>
        <w:t xml:space="preserve">for clarity </w:t>
      </w:r>
      <w:r w:rsidRPr="00E51603">
        <w:rPr>
          <w:rFonts w:ascii="Arial" w:hAnsi="Arial" w:cs="Arial"/>
          <w:iCs/>
          <w:sz w:val="24"/>
        </w:rPr>
        <w:t>to specify that the “The metric decimal quantity/units billed for each ingredient is the total amount within the compound regardless of the number of containers.”</w:t>
      </w:r>
    </w:p>
    <w:p w14:paraId="2B54EA92" w14:textId="7F4B76D1" w:rsidR="00C960EF" w:rsidRPr="00C960EF" w:rsidRDefault="00C960EF" w:rsidP="00C960EF">
      <w:pPr>
        <w:spacing w:after="240"/>
        <w:jc w:val="left"/>
        <w:rPr>
          <w:rFonts w:ascii="Arial" w:hAnsi="Arial" w:cs="Arial"/>
          <w:bCs/>
          <w:sz w:val="24"/>
        </w:rPr>
      </w:pPr>
      <w:r w:rsidRPr="00C960EF">
        <w:rPr>
          <w:rFonts w:ascii="Arial" w:hAnsi="Arial" w:cs="Arial"/>
          <w:b/>
          <w:sz w:val="24"/>
        </w:rPr>
        <w:t>Subdivision (e)</w:t>
      </w:r>
      <w:r w:rsidRPr="00C960EF">
        <w:rPr>
          <w:rFonts w:ascii="Arial" w:hAnsi="Arial" w:cs="Arial"/>
          <w:bCs/>
          <w:sz w:val="24"/>
        </w:rPr>
        <w:t>: the</w:t>
      </w:r>
      <w:r>
        <w:rPr>
          <w:rFonts w:ascii="Arial" w:hAnsi="Arial" w:cs="Arial"/>
          <w:bCs/>
          <w:sz w:val="24"/>
        </w:rPr>
        <w:t xml:space="preserve"> adopted regulation did not adopt the originally proposed</w:t>
      </w:r>
      <w:r w:rsidRPr="00C960EF">
        <w:rPr>
          <w:rFonts w:ascii="Arial" w:hAnsi="Arial" w:cs="Arial"/>
          <w:bCs/>
          <w:sz w:val="24"/>
        </w:rPr>
        <w:t xml:space="preserve"> provision which stated that dispensing, compounding and sterility fees are not payable to a physician, because subdivision (a)(2) was modified to allow these fees where applicable pursuant to section 9789.40.4. The deletion was necessary in light of the proposed modifications to the text allowing the fees as specified. Language </w:t>
      </w:r>
      <w:r>
        <w:rPr>
          <w:rFonts w:ascii="Arial" w:hAnsi="Arial" w:cs="Arial"/>
          <w:bCs/>
          <w:sz w:val="24"/>
        </w:rPr>
        <w:t>wa</w:t>
      </w:r>
      <w:r w:rsidRPr="00C960EF">
        <w:rPr>
          <w:rFonts w:ascii="Arial" w:hAnsi="Arial" w:cs="Arial"/>
          <w:bCs/>
          <w:sz w:val="24"/>
        </w:rPr>
        <w:t>s added specifying that the sterility fee is only included in the physician compounded drug reimbursement calculation set forth in subdivision (a)(2) if the physician’s performance of sterile compounding is allowed by state and federal law and complies with the requirements of the specified sterile compounding regulations adopted by the California Board of Pharmacy. It is necessary for patient safety to add this provision to emphasize the legal constraints on sterile compounding performed by physicians, and to avoid any misunderstanding regarding the effect of the workers’ compensation fee regulations. The fee schedule regulations do not provide authority for sterile compounding by physicians; they set the maximum fees if independent legal authority allows sterile compounding by a physician.</w:t>
      </w:r>
    </w:p>
    <w:p w14:paraId="10FBC7DA" w14:textId="32E3E96D" w:rsidR="006B4F2F" w:rsidRPr="00F04D41" w:rsidRDefault="006B4F2F" w:rsidP="00D916B2">
      <w:pPr>
        <w:pStyle w:val="Heading2"/>
      </w:pPr>
      <w:r w:rsidRPr="00F04D41">
        <w:t>Section 9789.111. Effective Date of Fee Schedule Provisions</w:t>
      </w:r>
      <w:r w:rsidR="0067497B">
        <w:t>.</w:t>
      </w:r>
    </w:p>
    <w:p w14:paraId="32F32204" w14:textId="739EE239" w:rsidR="00AA5F7C" w:rsidRDefault="00AA5F7C" w:rsidP="00AA5F7C">
      <w:pPr>
        <w:spacing w:after="240"/>
        <w:jc w:val="left"/>
        <w:rPr>
          <w:rFonts w:ascii="Arial" w:hAnsi="Arial" w:cs="Arial"/>
          <w:sz w:val="24"/>
        </w:rPr>
      </w:pPr>
      <w:r w:rsidRPr="00AA5F7C">
        <w:rPr>
          <w:rFonts w:ascii="Arial" w:hAnsi="Arial" w:cs="Arial"/>
          <w:b/>
          <w:sz w:val="24"/>
        </w:rPr>
        <w:t>Subdivision (d)</w:t>
      </w:r>
      <w:r w:rsidRPr="00AA5F7C">
        <w:rPr>
          <w:rFonts w:ascii="Arial" w:hAnsi="Arial" w:cs="Arial"/>
          <w:bCs/>
          <w:sz w:val="24"/>
        </w:rPr>
        <w:t xml:space="preserve"> which summarizes pharmaceutical fee schedule effective dates </w:t>
      </w:r>
      <w:r>
        <w:rPr>
          <w:rFonts w:ascii="Arial" w:hAnsi="Arial" w:cs="Arial"/>
          <w:bCs/>
          <w:sz w:val="24"/>
        </w:rPr>
        <w:t>wa</w:t>
      </w:r>
      <w:r w:rsidRPr="00AA5F7C">
        <w:rPr>
          <w:rFonts w:ascii="Arial" w:hAnsi="Arial" w:cs="Arial"/>
          <w:bCs/>
          <w:sz w:val="24"/>
        </w:rPr>
        <w:t xml:space="preserve">s </w:t>
      </w:r>
      <w:r>
        <w:rPr>
          <w:rFonts w:ascii="Arial" w:hAnsi="Arial" w:cs="Arial"/>
          <w:bCs/>
          <w:sz w:val="24"/>
        </w:rPr>
        <w:t xml:space="preserve">revised from the original proposal </w:t>
      </w:r>
      <w:r w:rsidRPr="00AA5F7C">
        <w:rPr>
          <w:rFonts w:ascii="Arial" w:hAnsi="Arial" w:cs="Arial"/>
          <w:bCs/>
          <w:sz w:val="24"/>
        </w:rPr>
        <w:t>to coordinate with the modifications to other sections which set the “effective date” of amendments as the first day of the month following</w:t>
      </w:r>
      <w:r w:rsidR="002D6A90">
        <w:rPr>
          <w:rFonts w:ascii="Arial" w:hAnsi="Arial" w:cs="Arial"/>
          <w:bCs/>
          <w:sz w:val="24"/>
        </w:rPr>
        <w:t>:</w:t>
      </w:r>
      <w:r w:rsidRPr="00AA5F7C">
        <w:rPr>
          <w:rFonts w:ascii="Arial" w:hAnsi="Arial" w:cs="Arial"/>
          <w:bCs/>
          <w:sz w:val="24"/>
        </w:rPr>
        <w:t xml:space="preserve"> 180 days after the regulation amendments are filed with the Secretary of State. </w:t>
      </w:r>
      <w:r w:rsidRPr="00AA5F7C">
        <w:rPr>
          <w:rFonts w:ascii="Arial" w:hAnsi="Arial" w:cs="Arial"/>
          <w:sz w:val="24"/>
        </w:rPr>
        <w:t xml:space="preserve">For section 9789.40, the </w:t>
      </w:r>
      <w:r>
        <w:rPr>
          <w:rFonts w:ascii="Arial" w:hAnsi="Arial" w:cs="Arial"/>
          <w:sz w:val="24"/>
        </w:rPr>
        <w:t>adopted</w:t>
      </w:r>
      <w:r w:rsidRPr="00AA5F7C">
        <w:rPr>
          <w:rFonts w:ascii="Arial" w:hAnsi="Arial" w:cs="Arial"/>
          <w:sz w:val="24"/>
        </w:rPr>
        <w:t xml:space="preserve"> regulation </w:t>
      </w:r>
      <w:r>
        <w:rPr>
          <w:rFonts w:ascii="Arial" w:hAnsi="Arial" w:cs="Arial"/>
          <w:sz w:val="24"/>
        </w:rPr>
        <w:t>provides</w:t>
      </w:r>
      <w:r w:rsidRPr="00AA5F7C">
        <w:rPr>
          <w:rFonts w:ascii="Arial" w:hAnsi="Arial" w:cs="Arial"/>
          <w:sz w:val="24"/>
        </w:rPr>
        <w:t xml:space="preserve"> that it continues to be effective for services rendered prior to the “effective date” in 2025. Subdivision (d) </w:t>
      </w:r>
      <w:r>
        <w:rPr>
          <w:rFonts w:ascii="Arial" w:hAnsi="Arial" w:cs="Arial"/>
          <w:sz w:val="24"/>
        </w:rPr>
        <w:t>as adopted</w:t>
      </w:r>
      <w:r w:rsidRPr="00AA5F7C">
        <w:rPr>
          <w:rFonts w:ascii="Arial" w:hAnsi="Arial" w:cs="Arial"/>
          <w:sz w:val="24"/>
        </w:rPr>
        <w:t xml:space="preserve"> specif</w:t>
      </w:r>
      <w:r>
        <w:rPr>
          <w:rFonts w:ascii="Arial" w:hAnsi="Arial" w:cs="Arial"/>
          <w:sz w:val="24"/>
        </w:rPr>
        <w:t>ies</w:t>
      </w:r>
      <w:r w:rsidRPr="00AA5F7C">
        <w:rPr>
          <w:rFonts w:ascii="Arial" w:hAnsi="Arial" w:cs="Arial"/>
          <w:sz w:val="24"/>
        </w:rPr>
        <w:t xml:space="preserve"> that the new sections 9789.40.1 – 9789.40.7 are effective for services rendered on or after the “effective date” which is in 2025. This is necessary </w:t>
      </w:r>
      <w:proofErr w:type="gramStart"/>
      <w:r w:rsidRPr="00AA5F7C">
        <w:rPr>
          <w:rFonts w:ascii="Arial" w:hAnsi="Arial" w:cs="Arial"/>
          <w:sz w:val="24"/>
        </w:rPr>
        <w:t>in light of</w:t>
      </w:r>
      <w:proofErr w:type="gramEnd"/>
      <w:r w:rsidRPr="00AA5F7C">
        <w:rPr>
          <w:rFonts w:ascii="Arial" w:hAnsi="Arial" w:cs="Arial"/>
          <w:sz w:val="24"/>
        </w:rPr>
        <w:t xml:space="preserve"> the extension of the effective date from 90 days to 180 days after the revised regulations are filed with the Secretary of State and </w:t>
      </w:r>
      <w:proofErr w:type="gramStart"/>
      <w:r w:rsidRPr="00AA5F7C">
        <w:rPr>
          <w:rFonts w:ascii="Arial" w:hAnsi="Arial" w:cs="Arial"/>
          <w:sz w:val="24"/>
        </w:rPr>
        <w:t>to include</w:t>
      </w:r>
      <w:proofErr w:type="gramEnd"/>
      <w:r w:rsidRPr="00AA5F7C">
        <w:rPr>
          <w:rFonts w:ascii="Arial" w:hAnsi="Arial" w:cs="Arial"/>
          <w:sz w:val="24"/>
        </w:rPr>
        <w:t xml:space="preserve"> section 9789.40.7 in the range of code numbers which are added because of the new section 9789.40.1.</w:t>
      </w:r>
    </w:p>
    <w:p w14:paraId="3D08CF09" w14:textId="15FB64D6" w:rsidR="002D6B30" w:rsidRDefault="002D6B30">
      <w:pPr>
        <w:jc w:val="left"/>
        <w:rPr>
          <w:rFonts w:ascii="Arial" w:hAnsi="Arial" w:cs="Arial"/>
          <w:sz w:val="24"/>
        </w:rPr>
      </w:pPr>
      <w:r>
        <w:rPr>
          <w:rFonts w:ascii="Arial" w:hAnsi="Arial" w:cs="Arial"/>
          <w:sz w:val="24"/>
        </w:rPr>
        <w:br w:type="page"/>
      </w:r>
    </w:p>
    <w:p w14:paraId="79CA5F6C" w14:textId="7F87E978" w:rsidR="00FE54E7" w:rsidRPr="00FE54E7" w:rsidRDefault="00FE54E7" w:rsidP="008554D2">
      <w:pPr>
        <w:pStyle w:val="Heading1"/>
        <w:rPr>
          <w:b w:val="0"/>
          <w:snapToGrid w:val="0"/>
        </w:rPr>
      </w:pPr>
      <w:r w:rsidRPr="00FE54E7">
        <w:rPr>
          <w:bCs/>
          <w:snapToGrid w:val="0"/>
        </w:rPr>
        <w:lastRenderedPageBreak/>
        <w:t>Non-substantive Modifications to the Text of Regulations Subsequent to the Close of the Second 15-Day Comment Period</w:t>
      </w:r>
    </w:p>
    <w:p w14:paraId="2C6FD0CC" w14:textId="267C57C4" w:rsidR="00FE54E7" w:rsidRDefault="00FE54E7" w:rsidP="00FE54E7">
      <w:pPr>
        <w:rPr>
          <w:rFonts w:ascii="Arial" w:hAnsi="Arial" w:cs="Arial"/>
          <w:sz w:val="24"/>
          <w:szCs w:val="24"/>
        </w:rPr>
      </w:pPr>
      <w:r>
        <w:rPr>
          <w:rFonts w:ascii="Arial" w:hAnsi="Arial" w:cs="Arial"/>
          <w:sz w:val="24"/>
          <w:szCs w:val="24"/>
        </w:rPr>
        <w:t>In consultation with the Office of Administrative Law, the following modifications without substantive effect were made to the text of regulations.</w:t>
      </w:r>
    </w:p>
    <w:p w14:paraId="2926EDA5" w14:textId="2F5805E4" w:rsidR="00FE54E7" w:rsidRDefault="00FE54E7" w:rsidP="00FE54E7">
      <w:pPr>
        <w:pStyle w:val="ListParagraph"/>
        <w:numPr>
          <w:ilvl w:val="0"/>
          <w:numId w:val="26"/>
        </w:numPr>
        <w:rPr>
          <w:rFonts w:ascii="Arial" w:hAnsi="Arial" w:cs="Arial"/>
          <w:sz w:val="24"/>
          <w:szCs w:val="24"/>
        </w:rPr>
      </w:pPr>
      <w:r>
        <w:rPr>
          <w:rFonts w:ascii="Arial" w:hAnsi="Arial" w:cs="Arial"/>
          <w:sz w:val="24"/>
          <w:szCs w:val="24"/>
        </w:rPr>
        <w:t>The date “July 1, 2025” was substituted for the phrase "</w:t>
      </w:r>
      <w:r w:rsidRPr="00FE54E7">
        <w:rPr>
          <w:rFonts w:ascii="Arial" w:hAnsi="Arial" w:cs="Arial"/>
          <w:sz w:val="24"/>
          <w:szCs w:val="24"/>
        </w:rPr>
        <w:t>[Month 1, 2025] [the first day of the month following: 180 days after the amendments are filed with the Secretary of State; date to be inserted by OAL]</w:t>
      </w:r>
      <w:r>
        <w:rPr>
          <w:rFonts w:ascii="Arial" w:hAnsi="Arial" w:cs="Arial"/>
          <w:sz w:val="24"/>
          <w:szCs w:val="24"/>
        </w:rPr>
        <w:t xml:space="preserve">” to reflect the actual date calculated </w:t>
      </w:r>
      <w:proofErr w:type="gramStart"/>
      <w:r>
        <w:rPr>
          <w:rFonts w:ascii="Arial" w:hAnsi="Arial" w:cs="Arial"/>
          <w:sz w:val="24"/>
          <w:szCs w:val="24"/>
        </w:rPr>
        <w:t>in light of</w:t>
      </w:r>
      <w:proofErr w:type="gramEnd"/>
      <w:r>
        <w:rPr>
          <w:rFonts w:ascii="Arial" w:hAnsi="Arial" w:cs="Arial"/>
          <w:sz w:val="24"/>
          <w:szCs w:val="24"/>
        </w:rPr>
        <w:t xml:space="preserve"> the </w:t>
      </w:r>
      <w:r w:rsidR="00950509">
        <w:rPr>
          <w:rFonts w:ascii="Arial" w:hAnsi="Arial" w:cs="Arial"/>
          <w:sz w:val="24"/>
          <w:szCs w:val="24"/>
        </w:rPr>
        <w:t xml:space="preserve">December of 2024 </w:t>
      </w:r>
      <w:r>
        <w:rPr>
          <w:rFonts w:ascii="Arial" w:hAnsi="Arial" w:cs="Arial"/>
          <w:sz w:val="24"/>
          <w:szCs w:val="24"/>
        </w:rPr>
        <w:t xml:space="preserve">date the regulations are to be filed </w:t>
      </w:r>
      <w:r w:rsidR="004B2AC0">
        <w:rPr>
          <w:rFonts w:ascii="Arial" w:hAnsi="Arial" w:cs="Arial"/>
          <w:sz w:val="24"/>
          <w:szCs w:val="24"/>
        </w:rPr>
        <w:t xml:space="preserve">by OAL </w:t>
      </w:r>
      <w:r>
        <w:rPr>
          <w:rFonts w:ascii="Arial" w:hAnsi="Arial" w:cs="Arial"/>
          <w:sz w:val="24"/>
          <w:szCs w:val="24"/>
        </w:rPr>
        <w:t>with the Secretary of State.</w:t>
      </w:r>
    </w:p>
    <w:p w14:paraId="60FB3E6B" w14:textId="25308E35" w:rsidR="00FE54E7" w:rsidRDefault="00FE54E7" w:rsidP="00FE54E7">
      <w:pPr>
        <w:pStyle w:val="ListParagraph"/>
        <w:numPr>
          <w:ilvl w:val="0"/>
          <w:numId w:val="26"/>
        </w:numPr>
        <w:rPr>
          <w:rFonts w:ascii="Arial" w:hAnsi="Arial" w:cs="Arial"/>
          <w:sz w:val="24"/>
          <w:szCs w:val="24"/>
        </w:rPr>
      </w:pPr>
      <w:r>
        <w:rPr>
          <w:rFonts w:ascii="Arial" w:hAnsi="Arial" w:cs="Arial"/>
          <w:sz w:val="24"/>
          <w:szCs w:val="24"/>
        </w:rPr>
        <w:t xml:space="preserve">Section 9789.40, subdivisions (a) and (c)(1) are modified to delete the Official Medical Fee Schedule’s web address, and the Food and Drug Administration’s </w:t>
      </w:r>
      <w:r w:rsidR="004B2AC0">
        <w:rPr>
          <w:rFonts w:ascii="Arial" w:hAnsi="Arial" w:cs="Arial"/>
          <w:sz w:val="24"/>
          <w:szCs w:val="24"/>
        </w:rPr>
        <w:t>Orange Boo</w:t>
      </w:r>
      <w:r w:rsidR="00D43915">
        <w:rPr>
          <w:rFonts w:ascii="Arial" w:hAnsi="Arial" w:cs="Arial"/>
          <w:sz w:val="24"/>
          <w:szCs w:val="24"/>
        </w:rPr>
        <w:t>k</w:t>
      </w:r>
      <w:r w:rsidR="004B2AC0">
        <w:rPr>
          <w:rFonts w:ascii="Arial" w:hAnsi="Arial" w:cs="Arial"/>
          <w:sz w:val="24"/>
          <w:szCs w:val="24"/>
        </w:rPr>
        <w:t xml:space="preserve"> </w:t>
      </w:r>
      <w:r>
        <w:rPr>
          <w:rFonts w:ascii="Arial" w:hAnsi="Arial" w:cs="Arial"/>
          <w:sz w:val="24"/>
          <w:szCs w:val="24"/>
        </w:rPr>
        <w:t>web address</w:t>
      </w:r>
      <w:r w:rsidR="004B2AC0">
        <w:rPr>
          <w:rFonts w:ascii="Arial" w:hAnsi="Arial" w:cs="Arial"/>
          <w:sz w:val="24"/>
          <w:szCs w:val="24"/>
        </w:rPr>
        <w:t xml:space="preserve"> URL</w:t>
      </w:r>
      <w:r w:rsidR="003B6BA7">
        <w:rPr>
          <w:rFonts w:ascii="Arial" w:hAnsi="Arial" w:cs="Arial"/>
          <w:sz w:val="24"/>
          <w:szCs w:val="24"/>
        </w:rPr>
        <w:t>, respectively,</w:t>
      </w:r>
      <w:r>
        <w:rPr>
          <w:rFonts w:ascii="Arial" w:hAnsi="Arial" w:cs="Arial"/>
          <w:sz w:val="24"/>
          <w:szCs w:val="24"/>
        </w:rPr>
        <w:t xml:space="preserve"> </w:t>
      </w:r>
      <w:r w:rsidR="004B2AC0">
        <w:rPr>
          <w:rFonts w:ascii="Arial" w:hAnsi="Arial" w:cs="Arial"/>
          <w:sz w:val="24"/>
          <w:szCs w:val="24"/>
        </w:rPr>
        <w:t>in light of potential changes in website structure</w:t>
      </w:r>
      <w:r w:rsidR="003B6BA7">
        <w:rPr>
          <w:rFonts w:ascii="Arial" w:hAnsi="Arial" w:cs="Arial"/>
          <w:sz w:val="24"/>
          <w:szCs w:val="24"/>
        </w:rPr>
        <w:t xml:space="preserve"> and document address.</w:t>
      </w:r>
    </w:p>
    <w:p w14:paraId="45B2A653" w14:textId="4CD5EE72" w:rsidR="003B6BA7" w:rsidRPr="003B6BA7" w:rsidRDefault="003B6BA7" w:rsidP="003B6BA7">
      <w:pPr>
        <w:pStyle w:val="ListParagraph"/>
        <w:numPr>
          <w:ilvl w:val="0"/>
          <w:numId w:val="26"/>
        </w:numPr>
        <w:rPr>
          <w:rFonts w:ascii="Arial" w:hAnsi="Arial" w:cs="Arial"/>
          <w:sz w:val="24"/>
          <w:szCs w:val="24"/>
        </w:rPr>
      </w:pPr>
      <w:r>
        <w:rPr>
          <w:rFonts w:ascii="Arial" w:hAnsi="Arial" w:cs="Arial"/>
          <w:sz w:val="24"/>
          <w:szCs w:val="24"/>
        </w:rPr>
        <w:t xml:space="preserve">New sections which had proposed to include the website URL for the OMFS, the FDA’s Orange Book, and the FDA’s National Drug Code Directory are modified to omit the web address URL </w:t>
      </w:r>
      <w:proofErr w:type="gramStart"/>
      <w:r>
        <w:rPr>
          <w:rFonts w:ascii="Arial" w:hAnsi="Arial" w:cs="Arial"/>
          <w:sz w:val="24"/>
          <w:szCs w:val="24"/>
        </w:rPr>
        <w:t>in light of</w:t>
      </w:r>
      <w:proofErr w:type="gramEnd"/>
      <w:r>
        <w:rPr>
          <w:rFonts w:ascii="Arial" w:hAnsi="Arial" w:cs="Arial"/>
          <w:sz w:val="24"/>
          <w:szCs w:val="24"/>
        </w:rPr>
        <w:t xml:space="preserve"> potential changes in website structure and document address.</w:t>
      </w:r>
    </w:p>
    <w:p w14:paraId="191D7060" w14:textId="25B3DBDA" w:rsidR="004B2AC0" w:rsidRDefault="004B2AC0" w:rsidP="003B6BA7">
      <w:pPr>
        <w:pStyle w:val="ListParagraph"/>
        <w:numPr>
          <w:ilvl w:val="1"/>
          <w:numId w:val="26"/>
        </w:numPr>
        <w:rPr>
          <w:rFonts w:ascii="Arial" w:hAnsi="Arial" w:cs="Arial"/>
          <w:sz w:val="24"/>
          <w:szCs w:val="24"/>
        </w:rPr>
      </w:pPr>
      <w:r>
        <w:rPr>
          <w:rFonts w:ascii="Arial" w:hAnsi="Arial" w:cs="Arial"/>
          <w:sz w:val="24"/>
          <w:szCs w:val="24"/>
        </w:rPr>
        <w:t xml:space="preserve">Section 9789.40.1 OMFS </w:t>
      </w:r>
      <w:r w:rsidR="003B6BA7">
        <w:rPr>
          <w:rFonts w:ascii="Arial" w:hAnsi="Arial" w:cs="Arial"/>
          <w:sz w:val="24"/>
          <w:szCs w:val="24"/>
        </w:rPr>
        <w:t xml:space="preserve">URL (for </w:t>
      </w:r>
      <w:r>
        <w:rPr>
          <w:rFonts w:ascii="Arial" w:hAnsi="Arial" w:cs="Arial"/>
          <w:sz w:val="24"/>
          <w:szCs w:val="24"/>
        </w:rPr>
        <w:t>Pharma data file</w:t>
      </w:r>
      <w:r w:rsidR="003B6BA7">
        <w:rPr>
          <w:rFonts w:ascii="Arial" w:hAnsi="Arial" w:cs="Arial"/>
          <w:sz w:val="24"/>
          <w:szCs w:val="24"/>
        </w:rPr>
        <w:t xml:space="preserve"> and</w:t>
      </w:r>
      <w:r>
        <w:rPr>
          <w:rFonts w:ascii="Arial" w:hAnsi="Arial" w:cs="Arial"/>
          <w:sz w:val="24"/>
          <w:szCs w:val="24"/>
        </w:rPr>
        <w:t xml:space="preserve"> NPI file</w:t>
      </w:r>
      <w:r w:rsidR="003B6BA7">
        <w:rPr>
          <w:rFonts w:ascii="Arial" w:hAnsi="Arial" w:cs="Arial"/>
          <w:sz w:val="24"/>
          <w:szCs w:val="24"/>
        </w:rPr>
        <w:t>)</w:t>
      </w:r>
    </w:p>
    <w:p w14:paraId="102AEDF8" w14:textId="6F62F3DB" w:rsidR="004B2AC0" w:rsidRDefault="004B2AC0" w:rsidP="003B6BA7">
      <w:pPr>
        <w:pStyle w:val="ListParagraph"/>
        <w:numPr>
          <w:ilvl w:val="1"/>
          <w:numId w:val="26"/>
        </w:numPr>
        <w:rPr>
          <w:rFonts w:ascii="Arial" w:hAnsi="Arial" w:cs="Arial"/>
          <w:sz w:val="24"/>
          <w:szCs w:val="24"/>
        </w:rPr>
      </w:pPr>
      <w:r>
        <w:rPr>
          <w:rFonts w:ascii="Arial" w:hAnsi="Arial" w:cs="Arial"/>
          <w:sz w:val="24"/>
          <w:szCs w:val="24"/>
        </w:rPr>
        <w:t>9789.40.2 FDA Orange Book</w:t>
      </w:r>
      <w:r w:rsidR="003B6BA7">
        <w:rPr>
          <w:rFonts w:ascii="Arial" w:hAnsi="Arial" w:cs="Arial"/>
          <w:sz w:val="24"/>
          <w:szCs w:val="24"/>
        </w:rPr>
        <w:t xml:space="preserve"> URL</w:t>
      </w:r>
    </w:p>
    <w:p w14:paraId="35E85CFA" w14:textId="5614E169" w:rsidR="004B2AC0" w:rsidRDefault="004B2AC0" w:rsidP="003B6BA7">
      <w:pPr>
        <w:pStyle w:val="ListParagraph"/>
        <w:numPr>
          <w:ilvl w:val="1"/>
          <w:numId w:val="26"/>
        </w:numPr>
        <w:rPr>
          <w:rFonts w:ascii="Arial" w:hAnsi="Arial" w:cs="Arial"/>
          <w:sz w:val="24"/>
          <w:szCs w:val="24"/>
        </w:rPr>
      </w:pPr>
      <w:r>
        <w:rPr>
          <w:rFonts w:ascii="Arial" w:hAnsi="Arial" w:cs="Arial"/>
          <w:sz w:val="24"/>
          <w:szCs w:val="24"/>
        </w:rPr>
        <w:t>9789.40.3 FDA NDC Directory</w:t>
      </w:r>
      <w:r w:rsidR="003B6BA7">
        <w:rPr>
          <w:rFonts w:ascii="Arial" w:hAnsi="Arial" w:cs="Arial"/>
          <w:sz w:val="24"/>
          <w:szCs w:val="24"/>
        </w:rPr>
        <w:t xml:space="preserve"> URL</w:t>
      </w:r>
    </w:p>
    <w:p w14:paraId="2446D87C" w14:textId="4552DE3B" w:rsidR="004B2AC0" w:rsidRDefault="004B2AC0" w:rsidP="003B6BA7">
      <w:pPr>
        <w:pStyle w:val="ListParagraph"/>
        <w:numPr>
          <w:ilvl w:val="1"/>
          <w:numId w:val="26"/>
        </w:numPr>
        <w:rPr>
          <w:rFonts w:ascii="Arial" w:hAnsi="Arial" w:cs="Arial"/>
          <w:sz w:val="24"/>
          <w:szCs w:val="24"/>
        </w:rPr>
      </w:pPr>
      <w:r>
        <w:rPr>
          <w:rFonts w:ascii="Arial" w:hAnsi="Arial" w:cs="Arial"/>
          <w:sz w:val="24"/>
          <w:szCs w:val="24"/>
        </w:rPr>
        <w:t>9789.40.6 FD</w:t>
      </w:r>
      <w:r w:rsidR="003B6BA7">
        <w:rPr>
          <w:rFonts w:ascii="Arial" w:hAnsi="Arial" w:cs="Arial"/>
          <w:sz w:val="24"/>
          <w:szCs w:val="24"/>
        </w:rPr>
        <w:t>A</w:t>
      </w:r>
      <w:r>
        <w:rPr>
          <w:rFonts w:ascii="Arial" w:hAnsi="Arial" w:cs="Arial"/>
          <w:sz w:val="24"/>
          <w:szCs w:val="24"/>
        </w:rPr>
        <w:t xml:space="preserve"> Orange Book</w:t>
      </w:r>
      <w:r w:rsidR="003B6BA7">
        <w:rPr>
          <w:rFonts w:ascii="Arial" w:hAnsi="Arial" w:cs="Arial"/>
          <w:sz w:val="24"/>
          <w:szCs w:val="24"/>
        </w:rPr>
        <w:t xml:space="preserve"> URL</w:t>
      </w:r>
    </w:p>
    <w:p w14:paraId="4DAC9CC1" w14:textId="4508EDC1" w:rsidR="004B2AC0" w:rsidRPr="00FE54E7" w:rsidRDefault="004B2AC0" w:rsidP="003B6BA7">
      <w:pPr>
        <w:pStyle w:val="ListParagraph"/>
        <w:numPr>
          <w:ilvl w:val="1"/>
          <w:numId w:val="26"/>
        </w:numPr>
        <w:rPr>
          <w:rFonts w:ascii="Arial" w:hAnsi="Arial" w:cs="Arial"/>
          <w:sz w:val="24"/>
          <w:szCs w:val="24"/>
        </w:rPr>
      </w:pPr>
      <w:r>
        <w:rPr>
          <w:rFonts w:ascii="Arial" w:hAnsi="Arial" w:cs="Arial"/>
          <w:sz w:val="24"/>
          <w:szCs w:val="24"/>
        </w:rPr>
        <w:t>9789.40.7 NDC Directory</w:t>
      </w:r>
      <w:r w:rsidR="003B6BA7">
        <w:rPr>
          <w:rFonts w:ascii="Arial" w:hAnsi="Arial" w:cs="Arial"/>
          <w:sz w:val="24"/>
          <w:szCs w:val="24"/>
        </w:rPr>
        <w:t xml:space="preserve"> URL</w:t>
      </w:r>
    </w:p>
    <w:p w14:paraId="0B22E174" w14:textId="6359742A" w:rsidR="008554D2" w:rsidRPr="008554D2" w:rsidRDefault="008554D2" w:rsidP="008554D2">
      <w:pPr>
        <w:pStyle w:val="Heading1"/>
        <w:rPr>
          <w:snapToGrid w:val="0"/>
        </w:rPr>
      </w:pPr>
      <w:r w:rsidRPr="008554D2">
        <w:rPr>
          <w:bCs/>
          <w:snapToGrid w:val="0"/>
        </w:rPr>
        <w:t>UPDATE OF MATERIAL RELIED UPON</w:t>
      </w:r>
    </w:p>
    <w:p w14:paraId="4A6D8089" w14:textId="5EF74AAF" w:rsidR="008554D2" w:rsidRPr="00993CED" w:rsidRDefault="008554D2" w:rsidP="00D427D7">
      <w:pPr>
        <w:spacing w:after="240"/>
        <w:rPr>
          <w:rFonts w:ascii="Arial" w:hAnsi="Arial" w:cs="Arial"/>
          <w:snapToGrid w:val="0"/>
          <w:sz w:val="24"/>
          <w:szCs w:val="24"/>
        </w:rPr>
      </w:pPr>
      <w:r w:rsidRPr="00993CED">
        <w:rPr>
          <w:rFonts w:ascii="Arial" w:hAnsi="Arial" w:cs="Arial"/>
          <w:snapToGrid w:val="0"/>
          <w:sz w:val="24"/>
          <w:szCs w:val="24"/>
        </w:rPr>
        <w:t xml:space="preserve">The following additional documents beyond those identified in the Initial Statement of Reasons were relied upon by the Administrative Director and added to rulemaking file after close of the initial </w:t>
      </w:r>
      <w:r w:rsidR="00993CED">
        <w:rPr>
          <w:rFonts w:ascii="Arial" w:hAnsi="Arial" w:cs="Arial"/>
          <w:snapToGrid w:val="0"/>
          <w:sz w:val="24"/>
          <w:szCs w:val="24"/>
        </w:rPr>
        <w:t>45</w:t>
      </w:r>
      <w:r w:rsidRPr="00993CED">
        <w:rPr>
          <w:rFonts w:ascii="Arial" w:hAnsi="Arial" w:cs="Arial"/>
          <w:snapToGrid w:val="0"/>
          <w:sz w:val="24"/>
          <w:szCs w:val="24"/>
        </w:rPr>
        <w:t xml:space="preserve">-day comment period.  They were identified in the Notice of Modification to Text of Proposed Regulations for the </w:t>
      </w:r>
      <w:r w:rsidR="00993CED">
        <w:rPr>
          <w:rFonts w:ascii="Arial" w:hAnsi="Arial" w:cs="Arial"/>
          <w:snapToGrid w:val="0"/>
          <w:sz w:val="24"/>
          <w:szCs w:val="24"/>
        </w:rPr>
        <w:t xml:space="preserve">second </w:t>
      </w:r>
      <w:r w:rsidRPr="00993CED">
        <w:rPr>
          <w:rFonts w:ascii="Arial" w:hAnsi="Arial" w:cs="Arial"/>
          <w:snapToGrid w:val="0"/>
          <w:sz w:val="24"/>
          <w:szCs w:val="24"/>
        </w:rPr>
        <w:t xml:space="preserve">15-day comment period </w:t>
      </w:r>
      <w:r w:rsidR="00993CED">
        <w:rPr>
          <w:rFonts w:ascii="Arial" w:hAnsi="Arial" w:cs="Arial"/>
          <w:snapToGrid w:val="0"/>
          <w:sz w:val="24"/>
          <w:szCs w:val="24"/>
        </w:rPr>
        <w:t>which closed</w:t>
      </w:r>
      <w:r w:rsidRPr="00993CED">
        <w:rPr>
          <w:rFonts w:ascii="Arial" w:hAnsi="Arial" w:cs="Arial"/>
          <w:snapToGrid w:val="0"/>
          <w:sz w:val="24"/>
          <w:szCs w:val="24"/>
        </w:rPr>
        <w:t xml:space="preserve"> </w:t>
      </w:r>
      <w:r w:rsidR="00993CED">
        <w:rPr>
          <w:rFonts w:ascii="Arial" w:hAnsi="Arial" w:cs="Arial"/>
          <w:snapToGrid w:val="0"/>
          <w:sz w:val="24"/>
          <w:szCs w:val="24"/>
        </w:rPr>
        <w:t>October 23, 2024</w:t>
      </w:r>
      <w:r w:rsidRPr="00993CED">
        <w:rPr>
          <w:rFonts w:ascii="Arial" w:hAnsi="Arial" w:cs="Arial"/>
          <w:snapToGrid w:val="0"/>
          <w:sz w:val="24"/>
          <w:szCs w:val="24"/>
        </w:rPr>
        <w:t>. These additional documents were available for 15</w:t>
      </w:r>
      <w:r w:rsidR="00993CED">
        <w:rPr>
          <w:rFonts w:ascii="Arial" w:hAnsi="Arial" w:cs="Arial"/>
          <w:snapToGrid w:val="0"/>
          <w:sz w:val="24"/>
          <w:szCs w:val="24"/>
        </w:rPr>
        <w:t>-</w:t>
      </w:r>
      <w:r w:rsidRPr="00993CED">
        <w:rPr>
          <w:rFonts w:ascii="Arial" w:hAnsi="Arial" w:cs="Arial"/>
          <w:snapToGrid w:val="0"/>
          <w:sz w:val="24"/>
          <w:szCs w:val="24"/>
        </w:rPr>
        <w:t>day public review and comment.</w:t>
      </w:r>
    </w:p>
    <w:p w14:paraId="318E7612" w14:textId="62FB2056" w:rsidR="008554D2" w:rsidRPr="008554D2" w:rsidRDefault="008554D2" w:rsidP="00D427D7">
      <w:pPr>
        <w:pStyle w:val="Heading2"/>
        <w:rPr>
          <w:snapToGrid w:val="0"/>
        </w:rPr>
      </w:pPr>
      <w:r w:rsidRPr="008554D2">
        <w:rPr>
          <w:snapToGrid w:val="0"/>
        </w:rPr>
        <w:t xml:space="preserve">Additional documents relied upon by the Administrative Director and added to the rulemaking file and made available for public inspection and comment during the 15-day comment period </w:t>
      </w:r>
      <w:r w:rsidR="00993CED">
        <w:rPr>
          <w:snapToGrid w:val="0"/>
        </w:rPr>
        <w:t>closing October 23, 2024.</w:t>
      </w:r>
    </w:p>
    <w:p w14:paraId="3912BB96" w14:textId="77777777" w:rsidR="00082EB9" w:rsidRPr="00082EB9" w:rsidRDefault="00082EB9" w:rsidP="00082EB9">
      <w:pPr>
        <w:pStyle w:val="ListBullet"/>
        <w:rPr>
          <w:rFonts w:ascii="Arial" w:hAnsi="Arial" w:cs="Arial"/>
          <w:snapToGrid w:val="0"/>
        </w:rPr>
      </w:pPr>
      <w:r w:rsidRPr="00082EB9">
        <w:rPr>
          <w:rFonts w:ascii="Arial" w:hAnsi="Arial" w:cs="Arial"/>
          <w:snapToGrid w:val="0"/>
        </w:rPr>
        <w:t>Pharmaceutical Fee Data File entitled: “SAMPLE for public comment pfs_run20240911”</w:t>
      </w:r>
    </w:p>
    <w:p w14:paraId="1EB33F23" w14:textId="77777777" w:rsidR="00082EB9" w:rsidRPr="00082EB9" w:rsidRDefault="00082EB9" w:rsidP="00082EB9">
      <w:pPr>
        <w:pStyle w:val="ListBullet"/>
        <w:rPr>
          <w:rFonts w:ascii="Arial" w:hAnsi="Arial" w:cs="Arial"/>
          <w:snapToGrid w:val="0"/>
        </w:rPr>
      </w:pPr>
      <w:r w:rsidRPr="00082EB9">
        <w:rPr>
          <w:rFonts w:ascii="Arial" w:hAnsi="Arial" w:cs="Arial"/>
          <w:snapToGrid w:val="0"/>
        </w:rPr>
        <w:t>Medi-Cal National Provider Identifier File entitled: “SAMPLE for public comment npi_run20240911”</w:t>
      </w:r>
    </w:p>
    <w:p w14:paraId="5D89ECCB" w14:textId="77777777" w:rsidR="00082EB9" w:rsidRPr="00082EB9" w:rsidRDefault="00082EB9" w:rsidP="00121CE5">
      <w:pPr>
        <w:pStyle w:val="ListBullet"/>
        <w:rPr>
          <w:rFonts w:ascii="Arial" w:hAnsi="Arial" w:cs="Arial"/>
          <w:snapToGrid w:val="0"/>
        </w:rPr>
      </w:pPr>
      <w:r w:rsidRPr="00082EB9">
        <w:rPr>
          <w:rFonts w:ascii="Arial" w:hAnsi="Arial" w:cs="Arial"/>
          <w:snapToGrid w:val="0"/>
        </w:rPr>
        <w:t>Background document entitled: “DIR DWC Background OMFS Pharmaceutical Fee Schedule Sample Data File for 2nd 15 Day Public Comment”</w:t>
      </w:r>
    </w:p>
    <w:p w14:paraId="37313AFC" w14:textId="6360CA5F" w:rsidR="008554D2" w:rsidRDefault="000516CB" w:rsidP="002D6B30">
      <w:pPr>
        <w:spacing w:after="360"/>
        <w:jc w:val="left"/>
        <w:rPr>
          <w:rFonts w:ascii="Arial" w:hAnsi="Arial" w:cs="Arial"/>
          <w:snapToGrid w:val="0"/>
          <w:sz w:val="24"/>
          <w:szCs w:val="24"/>
        </w:rPr>
      </w:pPr>
      <w:r>
        <w:rPr>
          <w:rFonts w:ascii="Arial" w:hAnsi="Arial" w:cs="Arial"/>
          <w:snapToGrid w:val="0"/>
          <w:sz w:val="24"/>
          <w:szCs w:val="24"/>
        </w:rPr>
        <w:lastRenderedPageBreak/>
        <w:t>The</w:t>
      </w:r>
      <w:r w:rsidRPr="00082EB9">
        <w:rPr>
          <w:rFonts w:ascii="Arial" w:hAnsi="Arial" w:cs="Arial"/>
          <w:snapToGrid w:val="0"/>
          <w:sz w:val="24"/>
          <w:szCs w:val="24"/>
        </w:rPr>
        <w:t xml:space="preserve"> </w:t>
      </w:r>
      <w:r w:rsidR="00082EB9" w:rsidRPr="00082EB9">
        <w:rPr>
          <w:rFonts w:ascii="Arial" w:hAnsi="Arial" w:cs="Arial"/>
          <w:snapToGrid w:val="0"/>
          <w:sz w:val="24"/>
          <w:szCs w:val="24"/>
        </w:rPr>
        <w:t xml:space="preserve">updated sample Pharmaceutical Fee Data File, updated </w:t>
      </w:r>
      <w:r>
        <w:rPr>
          <w:rFonts w:ascii="Arial" w:hAnsi="Arial" w:cs="Arial"/>
          <w:snapToGrid w:val="0"/>
          <w:sz w:val="24"/>
          <w:szCs w:val="24"/>
        </w:rPr>
        <w:t xml:space="preserve">sample </w:t>
      </w:r>
      <w:r w:rsidR="00082EB9" w:rsidRPr="00082EB9">
        <w:rPr>
          <w:rFonts w:ascii="Arial" w:hAnsi="Arial" w:cs="Arial"/>
          <w:snapToGrid w:val="0"/>
          <w:sz w:val="24"/>
          <w:szCs w:val="24"/>
        </w:rPr>
        <w:t xml:space="preserve">Medi-Cal National Provider Identifier File and background document </w:t>
      </w:r>
      <w:r w:rsidR="00082EB9">
        <w:rPr>
          <w:rFonts w:ascii="Arial" w:hAnsi="Arial" w:cs="Arial"/>
          <w:snapToGrid w:val="0"/>
          <w:sz w:val="24"/>
          <w:szCs w:val="24"/>
        </w:rPr>
        <w:t>were</w:t>
      </w:r>
      <w:r w:rsidR="00082EB9" w:rsidRPr="00082EB9">
        <w:rPr>
          <w:rFonts w:ascii="Arial" w:hAnsi="Arial" w:cs="Arial"/>
          <w:snapToGrid w:val="0"/>
          <w:sz w:val="24"/>
          <w:szCs w:val="24"/>
        </w:rPr>
        <w:t xml:space="preserve"> added to the rulemaking file and available for public inspection and comment during the 2</w:t>
      </w:r>
      <w:r w:rsidR="00082EB9" w:rsidRPr="00082EB9">
        <w:rPr>
          <w:rFonts w:ascii="Arial" w:hAnsi="Arial" w:cs="Arial"/>
          <w:snapToGrid w:val="0"/>
          <w:sz w:val="24"/>
          <w:szCs w:val="24"/>
          <w:vertAlign w:val="superscript"/>
        </w:rPr>
        <w:t>nd</w:t>
      </w:r>
      <w:r w:rsidR="00082EB9" w:rsidRPr="00082EB9">
        <w:rPr>
          <w:rFonts w:ascii="Arial" w:hAnsi="Arial" w:cs="Arial"/>
          <w:snapToGrid w:val="0"/>
          <w:sz w:val="24"/>
          <w:szCs w:val="24"/>
        </w:rPr>
        <w:t xml:space="preserve"> 15-day Comment Period. The sample Pharmaceutical Fee Data File </w:t>
      </w:r>
      <w:r w:rsidR="00082EB9">
        <w:rPr>
          <w:rFonts w:ascii="Arial" w:hAnsi="Arial" w:cs="Arial"/>
          <w:snapToGrid w:val="0"/>
          <w:sz w:val="24"/>
          <w:szCs w:val="24"/>
        </w:rPr>
        <w:t>was</w:t>
      </w:r>
      <w:r w:rsidR="00082EB9" w:rsidRPr="00082EB9">
        <w:rPr>
          <w:rFonts w:ascii="Arial" w:hAnsi="Arial" w:cs="Arial"/>
          <w:snapToGrid w:val="0"/>
          <w:sz w:val="24"/>
          <w:szCs w:val="24"/>
        </w:rPr>
        <w:t xml:space="preserve"> modified to include unfinished bulk pharmaceutical ingredients used in compounded drugs.</w:t>
      </w:r>
    </w:p>
    <w:p w14:paraId="7B92C0DD" w14:textId="4409633F" w:rsidR="007E71B0" w:rsidRPr="00F04D41" w:rsidRDefault="007E71B0" w:rsidP="00121CE5">
      <w:pPr>
        <w:pStyle w:val="Heading1"/>
        <w:rPr>
          <w:snapToGrid w:val="0"/>
        </w:rPr>
      </w:pPr>
      <w:r w:rsidRPr="00F04D41">
        <w:rPr>
          <w:snapToGrid w:val="0"/>
        </w:rPr>
        <w:t>TECHNICAL, THEORETICAL, OR EMPIRICAL STUDIES, REPORTS, OR DOCUMENTS</w:t>
      </w:r>
      <w:r w:rsidR="00510590" w:rsidRPr="00F04D41">
        <w:rPr>
          <w:snapToGrid w:val="0"/>
        </w:rPr>
        <w:t xml:space="preserve"> RELIED UPON</w:t>
      </w:r>
    </w:p>
    <w:p w14:paraId="396BA4E0" w14:textId="74AD7A76" w:rsidR="00424C78" w:rsidRDefault="007E71B0" w:rsidP="002D6B30">
      <w:pPr>
        <w:widowControl w:val="0"/>
        <w:spacing w:after="360" w:line="240" w:lineRule="atLeast"/>
        <w:jc w:val="left"/>
        <w:rPr>
          <w:rFonts w:ascii="Arial" w:hAnsi="Arial" w:cs="Arial"/>
          <w:snapToGrid w:val="0"/>
          <w:sz w:val="24"/>
        </w:rPr>
      </w:pPr>
      <w:r w:rsidRPr="00F04D41">
        <w:rPr>
          <w:rFonts w:ascii="Arial" w:hAnsi="Arial" w:cs="Arial"/>
          <w:snapToGrid w:val="0"/>
          <w:sz w:val="24"/>
        </w:rPr>
        <w:t xml:space="preserve">The </w:t>
      </w:r>
      <w:r w:rsidR="00121CE5" w:rsidRPr="00F04D41">
        <w:rPr>
          <w:rFonts w:ascii="Arial" w:hAnsi="Arial" w:cs="Arial"/>
          <w:snapToGrid w:val="0"/>
          <w:sz w:val="24"/>
        </w:rPr>
        <w:t xml:space="preserve">Administrative Director </w:t>
      </w:r>
      <w:r w:rsidR="00121CE5">
        <w:rPr>
          <w:rFonts w:ascii="Arial" w:hAnsi="Arial" w:cs="Arial"/>
          <w:snapToGrid w:val="0"/>
          <w:sz w:val="24"/>
        </w:rPr>
        <w:t>did not rely upon additional documents beyond those identified in the Initial Statement of Reasons, aside from the three documents relied upon identified above.</w:t>
      </w:r>
    </w:p>
    <w:p w14:paraId="733B5EA9" w14:textId="77777777" w:rsidR="00D427D7" w:rsidRPr="00473A31" w:rsidRDefault="00D427D7" w:rsidP="00D427D7">
      <w:pPr>
        <w:pStyle w:val="Heading1"/>
      </w:pPr>
      <w:r w:rsidRPr="00473A31">
        <w:t>LOCAL MANDATES DETERMINATION</w:t>
      </w:r>
    </w:p>
    <w:p w14:paraId="183F5616" w14:textId="26A93CE4" w:rsidR="00D427D7" w:rsidRPr="00D427D7" w:rsidRDefault="00D427D7" w:rsidP="00D427D7">
      <w:pPr>
        <w:pStyle w:val="ListBullet"/>
        <w:contextualSpacing w:val="0"/>
        <w:rPr>
          <w:rFonts w:ascii="Arial" w:hAnsi="Arial" w:cs="Arial"/>
          <w:bCs/>
        </w:rPr>
      </w:pPr>
      <w:r w:rsidRPr="00D427D7">
        <w:rPr>
          <w:rFonts w:ascii="Arial" w:hAnsi="Arial" w:cs="Arial"/>
        </w:rPr>
        <w:t>Local Mandate: None.  The proposed amendments will not impose any new mandated programs or increased service levels on any local agency or school district.</w:t>
      </w:r>
    </w:p>
    <w:p w14:paraId="50D65A2A" w14:textId="77777777" w:rsidR="00D427D7" w:rsidRPr="00D427D7" w:rsidRDefault="00D427D7" w:rsidP="00D427D7">
      <w:pPr>
        <w:pStyle w:val="ListBullet"/>
        <w:rPr>
          <w:rFonts w:ascii="Arial" w:hAnsi="Arial" w:cs="Arial"/>
          <w:b/>
          <w:bCs/>
        </w:rPr>
      </w:pPr>
      <w:r w:rsidRPr="00D427D7">
        <w:rPr>
          <w:rFonts w:ascii="Arial" w:hAnsi="Arial" w:cs="Arial"/>
        </w:rPr>
        <w:t>Cost to any local agency or school district that is required to be reimbursed under Part 7 (commencing with Section 17500) of Division 4 of the Government Code: None.  The proposed amendments do not apply to any local agency or school district.</w:t>
      </w:r>
    </w:p>
    <w:p w14:paraId="4A4DE4BC" w14:textId="16BC1D97" w:rsidR="00D427D7" w:rsidRPr="00D427D7" w:rsidRDefault="00D427D7" w:rsidP="002D6B30">
      <w:pPr>
        <w:pStyle w:val="ListBullet"/>
        <w:spacing w:after="360"/>
        <w:contextualSpacing w:val="0"/>
        <w:rPr>
          <w:rFonts w:ascii="Arial" w:hAnsi="Arial" w:cs="Arial"/>
          <w:bCs/>
        </w:rPr>
      </w:pPr>
      <w:r w:rsidRPr="00D427D7">
        <w:rPr>
          <w:rFonts w:ascii="Arial" w:hAnsi="Arial" w:cs="Arial"/>
        </w:rPr>
        <w:t>Other nondiscretionary costs/savings imposed upon local agencies: None.</w:t>
      </w:r>
    </w:p>
    <w:p w14:paraId="7EC05609" w14:textId="0429D551" w:rsidR="00857C93" w:rsidRPr="00F04D41" w:rsidRDefault="00857C93" w:rsidP="00D916B2">
      <w:pPr>
        <w:pStyle w:val="Heading1"/>
      </w:pPr>
      <w:r w:rsidRPr="00F04D41">
        <w:t>CONSIDERATION OF ALTERNATIVE</w:t>
      </w:r>
      <w:r w:rsidR="00CB7581" w:rsidRPr="00F04D41">
        <w:t>S TO THE PROPOSED REGULATIONS</w:t>
      </w:r>
    </w:p>
    <w:p w14:paraId="01964234" w14:textId="3D5CE7EA" w:rsidR="00727879" w:rsidRDefault="00727879" w:rsidP="002D6B30">
      <w:pPr>
        <w:spacing w:after="480"/>
        <w:jc w:val="left"/>
        <w:rPr>
          <w:rFonts w:ascii="Arial" w:hAnsi="Arial" w:cs="Arial"/>
          <w:sz w:val="24"/>
          <w:szCs w:val="24"/>
        </w:rPr>
      </w:pPr>
      <w:r w:rsidRPr="00473A31">
        <w:rPr>
          <w:rFonts w:ascii="Arial" w:hAnsi="Arial" w:cs="Arial"/>
          <w:sz w:val="24"/>
          <w:szCs w:val="24"/>
        </w:rPr>
        <w:t>The Division considered all comments submitted during the public comment period</w:t>
      </w:r>
      <w:r>
        <w:rPr>
          <w:rFonts w:ascii="Arial" w:hAnsi="Arial" w:cs="Arial"/>
          <w:sz w:val="24"/>
          <w:szCs w:val="24"/>
        </w:rPr>
        <w:t>s</w:t>
      </w:r>
      <w:r w:rsidRPr="00473A31">
        <w:rPr>
          <w:rFonts w:ascii="Arial" w:hAnsi="Arial" w:cs="Arial"/>
          <w:sz w:val="24"/>
          <w:szCs w:val="24"/>
        </w:rPr>
        <w:t>.  The Administrative Director has now determined that no additional alternatives proposed by the regulated public or otherwise considered by the Division of Workers' Compensation would be more effective in carrying out the purpose for which these regulations were proposed, nor would they be as effective as and less burdensome to affected private persons and businesses than the regulations that were adopted.</w:t>
      </w:r>
    </w:p>
    <w:p w14:paraId="5B2CE6F5" w14:textId="7DE2A4F1" w:rsidR="00485632" w:rsidRPr="00485632" w:rsidRDefault="00485632" w:rsidP="00485632">
      <w:pPr>
        <w:pStyle w:val="Heading2"/>
      </w:pPr>
      <w:r w:rsidRPr="00485632">
        <w:t>SUMMARY OF COMMENTS RECEIVED AND RESPONSES THERETO CONCERNING THE REGULATIONS ADOPTED</w:t>
      </w:r>
    </w:p>
    <w:p w14:paraId="64A52F40" w14:textId="701B4B56" w:rsidR="002D6B30" w:rsidRDefault="00485632" w:rsidP="00485632">
      <w:pPr>
        <w:spacing w:after="240"/>
        <w:jc w:val="left"/>
        <w:rPr>
          <w:rFonts w:ascii="Arial" w:hAnsi="Arial" w:cs="Arial"/>
          <w:sz w:val="24"/>
          <w:szCs w:val="24"/>
        </w:rPr>
      </w:pPr>
      <w:r w:rsidRPr="00485632">
        <w:rPr>
          <w:rFonts w:ascii="Arial" w:hAnsi="Arial" w:cs="Arial"/>
          <w:sz w:val="24"/>
          <w:szCs w:val="24"/>
        </w:rPr>
        <w:t xml:space="preserve">The </w:t>
      </w:r>
      <w:r>
        <w:rPr>
          <w:rFonts w:ascii="Arial" w:hAnsi="Arial" w:cs="Arial"/>
          <w:sz w:val="24"/>
          <w:szCs w:val="24"/>
        </w:rPr>
        <w:t xml:space="preserve">oral and written </w:t>
      </w:r>
      <w:r w:rsidRPr="00485632">
        <w:rPr>
          <w:rFonts w:ascii="Arial" w:hAnsi="Arial" w:cs="Arial"/>
          <w:sz w:val="24"/>
          <w:szCs w:val="24"/>
        </w:rPr>
        <w:t>comments</w:t>
      </w:r>
      <w:r>
        <w:rPr>
          <w:rFonts w:ascii="Arial" w:hAnsi="Arial" w:cs="Arial"/>
          <w:sz w:val="24"/>
          <w:szCs w:val="24"/>
        </w:rPr>
        <w:t xml:space="preserve"> submitted</w:t>
      </w:r>
      <w:r w:rsidRPr="00485632">
        <w:rPr>
          <w:rFonts w:ascii="Arial" w:hAnsi="Arial" w:cs="Arial"/>
          <w:sz w:val="24"/>
          <w:szCs w:val="24"/>
        </w:rPr>
        <w:t xml:space="preserve"> </w:t>
      </w:r>
      <w:r>
        <w:rPr>
          <w:rFonts w:ascii="Arial" w:hAnsi="Arial" w:cs="Arial"/>
          <w:sz w:val="24"/>
          <w:szCs w:val="24"/>
        </w:rPr>
        <w:t>by</w:t>
      </w:r>
      <w:r w:rsidRPr="00485632">
        <w:rPr>
          <w:rFonts w:ascii="Arial" w:hAnsi="Arial" w:cs="Arial"/>
          <w:sz w:val="24"/>
          <w:szCs w:val="24"/>
        </w:rPr>
        <w:t xml:space="preserve"> each organization or individual are addressed in the following charts</w:t>
      </w:r>
      <w:r>
        <w:rPr>
          <w:rFonts w:ascii="Arial" w:hAnsi="Arial" w:cs="Arial"/>
          <w:sz w:val="24"/>
          <w:szCs w:val="24"/>
        </w:rPr>
        <w:t xml:space="preserve"> which are incorporated by reference into the Final Statement of Reasons</w:t>
      </w:r>
      <w:r w:rsidRPr="00485632">
        <w:rPr>
          <w:rFonts w:ascii="Arial" w:hAnsi="Arial" w:cs="Arial"/>
          <w:sz w:val="24"/>
          <w:szCs w:val="24"/>
        </w:rPr>
        <w:t>.</w:t>
      </w:r>
    </w:p>
    <w:p w14:paraId="62262092" w14:textId="77777777" w:rsidR="002D6B30" w:rsidRDefault="002D6B30">
      <w:pPr>
        <w:jc w:val="left"/>
        <w:rPr>
          <w:rFonts w:ascii="Arial" w:hAnsi="Arial" w:cs="Arial"/>
          <w:sz w:val="24"/>
          <w:szCs w:val="24"/>
        </w:rPr>
      </w:pPr>
      <w:r>
        <w:rPr>
          <w:rFonts w:ascii="Arial" w:hAnsi="Arial" w:cs="Arial"/>
          <w:sz w:val="24"/>
          <w:szCs w:val="24"/>
        </w:rPr>
        <w:br w:type="page"/>
      </w:r>
    </w:p>
    <w:p w14:paraId="2A112DEB" w14:textId="77777777" w:rsidR="00485632" w:rsidRDefault="00485632" w:rsidP="00485632">
      <w:pPr>
        <w:spacing w:after="240"/>
        <w:jc w:val="left"/>
        <w:rPr>
          <w:rFonts w:ascii="Arial" w:hAnsi="Arial" w:cs="Arial"/>
          <w:sz w:val="24"/>
          <w:szCs w:val="24"/>
        </w:rPr>
      </w:pPr>
    </w:p>
    <w:p w14:paraId="301299D2" w14:textId="25B97585" w:rsidR="00485632" w:rsidRDefault="00485632" w:rsidP="00485632">
      <w:pPr>
        <w:spacing w:after="240"/>
        <w:jc w:val="left"/>
        <w:rPr>
          <w:rFonts w:ascii="Arial" w:hAnsi="Arial" w:cs="Arial"/>
          <w:sz w:val="24"/>
          <w:szCs w:val="24"/>
        </w:rPr>
      </w:pPr>
      <w:r w:rsidRPr="00485632">
        <w:rPr>
          <w:rFonts w:ascii="Arial" w:hAnsi="Arial" w:cs="Arial"/>
          <w:sz w:val="24"/>
          <w:szCs w:val="24"/>
        </w:rPr>
        <w:t>The public comment period</w:t>
      </w:r>
      <w:r>
        <w:rPr>
          <w:rFonts w:ascii="Arial" w:hAnsi="Arial" w:cs="Arial"/>
          <w:sz w:val="24"/>
          <w:szCs w:val="24"/>
        </w:rPr>
        <w:t>s</w:t>
      </w:r>
      <w:r w:rsidRPr="00485632">
        <w:rPr>
          <w:rFonts w:ascii="Arial" w:hAnsi="Arial" w:cs="Arial"/>
          <w:sz w:val="24"/>
          <w:szCs w:val="24"/>
        </w:rPr>
        <w:t xml:space="preserve"> w</w:t>
      </w:r>
      <w:r>
        <w:rPr>
          <w:rFonts w:ascii="Arial" w:hAnsi="Arial" w:cs="Arial"/>
          <w:sz w:val="24"/>
          <w:szCs w:val="24"/>
        </w:rPr>
        <w:t>ere held</w:t>
      </w:r>
      <w:r w:rsidRPr="00485632">
        <w:rPr>
          <w:rFonts w:ascii="Arial" w:hAnsi="Arial" w:cs="Arial"/>
          <w:sz w:val="24"/>
          <w:szCs w:val="24"/>
        </w:rPr>
        <w:t xml:space="preserve"> as follows:</w:t>
      </w:r>
    </w:p>
    <w:p w14:paraId="54A3D286" w14:textId="7DB13AB3" w:rsidR="00485632" w:rsidRPr="00485632" w:rsidRDefault="00485632" w:rsidP="00485632">
      <w:pPr>
        <w:jc w:val="left"/>
        <w:rPr>
          <w:rFonts w:ascii="Arial" w:hAnsi="Arial" w:cs="Arial"/>
          <w:b/>
          <w:bCs/>
          <w:sz w:val="24"/>
          <w:szCs w:val="24"/>
        </w:rPr>
      </w:pPr>
      <w:r w:rsidRPr="00485632">
        <w:rPr>
          <w:rFonts w:ascii="Arial" w:hAnsi="Arial" w:cs="Arial"/>
          <w:b/>
          <w:bCs/>
          <w:sz w:val="24"/>
          <w:szCs w:val="24"/>
        </w:rPr>
        <w:t>Initial 45-day comment period on proposed regulation:</w:t>
      </w:r>
    </w:p>
    <w:p w14:paraId="2BD0323A" w14:textId="658225F5" w:rsidR="00485632" w:rsidRPr="00485632" w:rsidRDefault="00485632" w:rsidP="00485632">
      <w:pPr>
        <w:spacing w:after="240"/>
        <w:jc w:val="left"/>
        <w:rPr>
          <w:rFonts w:ascii="Arial" w:hAnsi="Arial" w:cs="Arial"/>
          <w:sz w:val="24"/>
          <w:szCs w:val="24"/>
        </w:rPr>
      </w:pPr>
      <w:r w:rsidRPr="00485632">
        <w:rPr>
          <w:rFonts w:ascii="Arial" w:hAnsi="Arial" w:cs="Arial"/>
          <w:sz w:val="24"/>
          <w:szCs w:val="24"/>
        </w:rPr>
        <w:t xml:space="preserve">From </w:t>
      </w:r>
      <w:r w:rsidR="008F4AC0" w:rsidRPr="008542A2">
        <w:rPr>
          <w:rFonts w:ascii="Arial" w:hAnsi="Arial" w:cs="Arial"/>
          <w:sz w:val="24"/>
          <w:szCs w:val="24"/>
        </w:rPr>
        <w:t>Febru</w:t>
      </w:r>
      <w:r w:rsidRPr="00485632">
        <w:rPr>
          <w:rFonts w:ascii="Arial" w:hAnsi="Arial" w:cs="Arial"/>
          <w:sz w:val="24"/>
          <w:szCs w:val="24"/>
        </w:rPr>
        <w:t>ary 2</w:t>
      </w:r>
      <w:r w:rsidR="008F4AC0" w:rsidRPr="008542A2">
        <w:rPr>
          <w:rFonts w:ascii="Arial" w:hAnsi="Arial" w:cs="Arial"/>
          <w:sz w:val="24"/>
          <w:szCs w:val="24"/>
        </w:rPr>
        <w:t>3</w:t>
      </w:r>
      <w:r w:rsidRPr="00485632">
        <w:rPr>
          <w:rFonts w:ascii="Arial" w:hAnsi="Arial" w:cs="Arial"/>
          <w:sz w:val="24"/>
          <w:szCs w:val="24"/>
        </w:rPr>
        <w:t xml:space="preserve">, </w:t>
      </w:r>
      <w:proofErr w:type="gramStart"/>
      <w:r w:rsidRPr="00485632">
        <w:rPr>
          <w:rFonts w:ascii="Arial" w:hAnsi="Arial" w:cs="Arial"/>
          <w:sz w:val="24"/>
          <w:szCs w:val="24"/>
        </w:rPr>
        <w:t>202</w:t>
      </w:r>
      <w:r w:rsidR="008F4AC0" w:rsidRPr="008542A2">
        <w:rPr>
          <w:rFonts w:ascii="Arial" w:hAnsi="Arial" w:cs="Arial"/>
          <w:sz w:val="24"/>
          <w:szCs w:val="24"/>
        </w:rPr>
        <w:t>4</w:t>
      </w:r>
      <w:proofErr w:type="gramEnd"/>
      <w:r w:rsidRPr="00485632">
        <w:rPr>
          <w:rFonts w:ascii="Arial" w:hAnsi="Arial" w:cs="Arial"/>
          <w:sz w:val="24"/>
          <w:szCs w:val="24"/>
        </w:rPr>
        <w:t xml:space="preserve"> to </w:t>
      </w:r>
      <w:r w:rsidR="008F4AC0" w:rsidRPr="008542A2">
        <w:rPr>
          <w:rFonts w:ascii="Arial" w:hAnsi="Arial" w:cs="Arial"/>
          <w:sz w:val="24"/>
          <w:szCs w:val="24"/>
        </w:rPr>
        <w:t>April 11</w:t>
      </w:r>
      <w:r w:rsidRPr="00485632">
        <w:rPr>
          <w:rFonts w:ascii="Arial" w:hAnsi="Arial" w:cs="Arial"/>
          <w:sz w:val="24"/>
          <w:szCs w:val="24"/>
        </w:rPr>
        <w:t>, 202</w:t>
      </w:r>
      <w:r w:rsidR="008F4AC0" w:rsidRPr="008542A2">
        <w:rPr>
          <w:rFonts w:ascii="Arial" w:hAnsi="Arial" w:cs="Arial"/>
          <w:sz w:val="24"/>
          <w:szCs w:val="24"/>
        </w:rPr>
        <w:t>4</w:t>
      </w:r>
      <w:r w:rsidRPr="00485632">
        <w:rPr>
          <w:rFonts w:ascii="Arial" w:hAnsi="Arial" w:cs="Arial"/>
          <w:sz w:val="24"/>
          <w:szCs w:val="24"/>
        </w:rPr>
        <w:t>.</w:t>
      </w:r>
    </w:p>
    <w:p w14:paraId="6D23A2D9" w14:textId="77777777" w:rsidR="00485632" w:rsidRPr="00485632" w:rsidRDefault="00485632" w:rsidP="00485632">
      <w:pPr>
        <w:jc w:val="left"/>
        <w:rPr>
          <w:rFonts w:ascii="Arial" w:hAnsi="Arial" w:cs="Arial"/>
          <w:b/>
          <w:sz w:val="24"/>
          <w:szCs w:val="24"/>
        </w:rPr>
      </w:pPr>
      <w:r w:rsidRPr="00485632">
        <w:rPr>
          <w:rFonts w:ascii="Arial" w:hAnsi="Arial" w:cs="Arial"/>
          <w:b/>
          <w:sz w:val="24"/>
          <w:szCs w:val="24"/>
        </w:rPr>
        <w:t>First 15-Day Comment period on proposed regulation:</w:t>
      </w:r>
    </w:p>
    <w:p w14:paraId="0B2B5F7D" w14:textId="1061A4B9" w:rsidR="00485632" w:rsidRPr="00485632" w:rsidRDefault="00485632" w:rsidP="00485632">
      <w:pPr>
        <w:jc w:val="left"/>
        <w:rPr>
          <w:rFonts w:ascii="Arial" w:hAnsi="Arial" w:cs="Arial"/>
          <w:sz w:val="24"/>
          <w:szCs w:val="24"/>
        </w:rPr>
      </w:pPr>
      <w:r w:rsidRPr="00485632">
        <w:rPr>
          <w:rFonts w:ascii="Arial" w:hAnsi="Arial" w:cs="Arial"/>
          <w:sz w:val="24"/>
          <w:szCs w:val="24"/>
        </w:rPr>
        <w:t xml:space="preserve">From </w:t>
      </w:r>
      <w:r w:rsidR="008F4AC0" w:rsidRPr="008542A2">
        <w:rPr>
          <w:rFonts w:ascii="Arial" w:hAnsi="Arial" w:cs="Arial"/>
          <w:sz w:val="24"/>
          <w:szCs w:val="24"/>
        </w:rPr>
        <w:t>June 13</w:t>
      </w:r>
      <w:r w:rsidRPr="00485632">
        <w:rPr>
          <w:rFonts w:ascii="Arial" w:hAnsi="Arial" w:cs="Arial"/>
          <w:sz w:val="24"/>
          <w:szCs w:val="24"/>
        </w:rPr>
        <w:t xml:space="preserve">, </w:t>
      </w:r>
      <w:proofErr w:type="gramStart"/>
      <w:r w:rsidRPr="00485632">
        <w:rPr>
          <w:rFonts w:ascii="Arial" w:hAnsi="Arial" w:cs="Arial"/>
          <w:sz w:val="24"/>
          <w:szCs w:val="24"/>
        </w:rPr>
        <w:t>202</w:t>
      </w:r>
      <w:r w:rsidR="008F4AC0" w:rsidRPr="008542A2">
        <w:rPr>
          <w:rFonts w:ascii="Arial" w:hAnsi="Arial" w:cs="Arial"/>
          <w:sz w:val="24"/>
          <w:szCs w:val="24"/>
        </w:rPr>
        <w:t>4</w:t>
      </w:r>
      <w:proofErr w:type="gramEnd"/>
      <w:r w:rsidRPr="00485632">
        <w:rPr>
          <w:rFonts w:ascii="Arial" w:hAnsi="Arial" w:cs="Arial"/>
          <w:sz w:val="24"/>
          <w:szCs w:val="24"/>
        </w:rPr>
        <w:t xml:space="preserve"> to </w:t>
      </w:r>
      <w:r w:rsidR="008F4AC0" w:rsidRPr="008542A2">
        <w:rPr>
          <w:rFonts w:ascii="Arial" w:hAnsi="Arial" w:cs="Arial"/>
          <w:sz w:val="24"/>
          <w:szCs w:val="24"/>
        </w:rPr>
        <w:t>June 28</w:t>
      </w:r>
      <w:r w:rsidRPr="00485632">
        <w:rPr>
          <w:rFonts w:ascii="Arial" w:hAnsi="Arial" w:cs="Arial"/>
          <w:sz w:val="24"/>
          <w:szCs w:val="24"/>
        </w:rPr>
        <w:t>, 202</w:t>
      </w:r>
      <w:r w:rsidR="008F4AC0" w:rsidRPr="008542A2">
        <w:rPr>
          <w:rFonts w:ascii="Arial" w:hAnsi="Arial" w:cs="Arial"/>
          <w:sz w:val="24"/>
          <w:szCs w:val="24"/>
        </w:rPr>
        <w:t>4</w:t>
      </w:r>
      <w:r w:rsidRPr="00485632">
        <w:rPr>
          <w:rFonts w:ascii="Arial" w:hAnsi="Arial" w:cs="Arial"/>
          <w:sz w:val="24"/>
          <w:szCs w:val="24"/>
        </w:rPr>
        <w:t xml:space="preserve">. </w:t>
      </w:r>
    </w:p>
    <w:p w14:paraId="19FAED3E" w14:textId="77777777" w:rsidR="00485632" w:rsidRPr="00485632" w:rsidRDefault="00485632" w:rsidP="00485632">
      <w:pPr>
        <w:jc w:val="left"/>
        <w:rPr>
          <w:rFonts w:ascii="Arial" w:hAnsi="Arial" w:cs="Arial"/>
          <w:sz w:val="24"/>
          <w:szCs w:val="24"/>
        </w:rPr>
      </w:pPr>
    </w:p>
    <w:p w14:paraId="4A6C2B28" w14:textId="77777777" w:rsidR="00485632" w:rsidRPr="00485632" w:rsidRDefault="00485632" w:rsidP="00485632">
      <w:pPr>
        <w:jc w:val="left"/>
        <w:rPr>
          <w:rFonts w:ascii="Arial" w:hAnsi="Arial" w:cs="Arial"/>
          <w:b/>
          <w:sz w:val="24"/>
          <w:szCs w:val="24"/>
        </w:rPr>
      </w:pPr>
      <w:r w:rsidRPr="00485632">
        <w:rPr>
          <w:rFonts w:ascii="Arial" w:hAnsi="Arial" w:cs="Arial"/>
          <w:b/>
          <w:sz w:val="24"/>
          <w:szCs w:val="24"/>
        </w:rPr>
        <w:t>Second 15-Day Comment period on proposed regulation:</w:t>
      </w:r>
    </w:p>
    <w:p w14:paraId="1AAAE077" w14:textId="67DE90C4" w:rsidR="00485632" w:rsidRDefault="00485632" w:rsidP="002D6B30">
      <w:pPr>
        <w:spacing w:after="480"/>
        <w:jc w:val="left"/>
        <w:rPr>
          <w:rFonts w:ascii="Arial" w:hAnsi="Arial" w:cs="Arial"/>
          <w:sz w:val="24"/>
          <w:szCs w:val="24"/>
        </w:rPr>
      </w:pPr>
      <w:r w:rsidRPr="00485632">
        <w:rPr>
          <w:rFonts w:ascii="Arial" w:hAnsi="Arial" w:cs="Arial"/>
          <w:sz w:val="24"/>
          <w:szCs w:val="24"/>
        </w:rPr>
        <w:t xml:space="preserve">From </w:t>
      </w:r>
      <w:r w:rsidR="008F4AC0" w:rsidRPr="008542A2">
        <w:rPr>
          <w:rFonts w:ascii="Arial" w:hAnsi="Arial" w:cs="Arial"/>
          <w:sz w:val="24"/>
          <w:szCs w:val="24"/>
        </w:rPr>
        <w:t>October 7</w:t>
      </w:r>
      <w:r w:rsidRPr="00485632">
        <w:rPr>
          <w:rFonts w:ascii="Arial" w:hAnsi="Arial" w:cs="Arial"/>
          <w:sz w:val="24"/>
          <w:szCs w:val="24"/>
        </w:rPr>
        <w:t xml:space="preserve">, </w:t>
      </w:r>
      <w:proofErr w:type="gramStart"/>
      <w:r w:rsidRPr="00485632">
        <w:rPr>
          <w:rFonts w:ascii="Arial" w:hAnsi="Arial" w:cs="Arial"/>
          <w:sz w:val="24"/>
          <w:szCs w:val="24"/>
        </w:rPr>
        <w:t>202</w:t>
      </w:r>
      <w:r w:rsidR="008F4AC0" w:rsidRPr="008542A2">
        <w:rPr>
          <w:rFonts w:ascii="Arial" w:hAnsi="Arial" w:cs="Arial"/>
          <w:sz w:val="24"/>
          <w:szCs w:val="24"/>
        </w:rPr>
        <w:t>4</w:t>
      </w:r>
      <w:proofErr w:type="gramEnd"/>
      <w:r w:rsidRPr="00485632">
        <w:rPr>
          <w:rFonts w:ascii="Arial" w:hAnsi="Arial" w:cs="Arial"/>
          <w:sz w:val="24"/>
          <w:szCs w:val="24"/>
        </w:rPr>
        <w:t xml:space="preserve"> to </w:t>
      </w:r>
      <w:r w:rsidR="008F4AC0" w:rsidRPr="008542A2">
        <w:rPr>
          <w:rFonts w:ascii="Arial" w:hAnsi="Arial" w:cs="Arial"/>
          <w:sz w:val="24"/>
          <w:szCs w:val="24"/>
        </w:rPr>
        <w:t>October 23, 2024</w:t>
      </w:r>
      <w:r w:rsidRPr="00485632">
        <w:rPr>
          <w:rFonts w:ascii="Arial" w:hAnsi="Arial" w:cs="Arial"/>
          <w:sz w:val="24"/>
          <w:szCs w:val="24"/>
        </w:rPr>
        <w:t>.</w:t>
      </w:r>
    </w:p>
    <w:sectPr w:rsidR="00485632" w:rsidSect="00EA37F5">
      <w:footerReference w:type="default" r:id="rId8"/>
      <w:type w:val="continuous"/>
      <w:pgSz w:w="12240" w:h="15840"/>
      <w:pgMar w:top="144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770F9" w14:textId="77777777" w:rsidR="00B16912" w:rsidRDefault="00B16912">
      <w:r>
        <w:separator/>
      </w:r>
    </w:p>
  </w:endnote>
  <w:endnote w:type="continuationSeparator" w:id="0">
    <w:p w14:paraId="4F308893" w14:textId="77777777" w:rsidR="00B16912" w:rsidRDefault="00B1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D93C" w14:textId="77777777" w:rsidR="001C1203" w:rsidRDefault="001C1203" w:rsidP="00A727B8">
    <w:pPr>
      <w:pStyle w:val="Footer"/>
      <w:rPr>
        <w:sz w:val="16"/>
        <w:szCs w:val="16"/>
      </w:rPr>
    </w:pPr>
  </w:p>
  <w:p w14:paraId="50F4A4C5" w14:textId="77777777" w:rsidR="00002F34" w:rsidRPr="00332B12" w:rsidRDefault="00002F34" w:rsidP="00A727B8">
    <w:pPr>
      <w:pStyle w:val="Footer"/>
      <w:rPr>
        <w:sz w:val="16"/>
        <w:szCs w:val="16"/>
      </w:rPr>
    </w:pPr>
    <w:r w:rsidRPr="00332B12">
      <w:rPr>
        <w:sz w:val="16"/>
        <w:szCs w:val="16"/>
      </w:rPr>
      <w:t xml:space="preserve">Official Medical </w:t>
    </w:r>
    <w:smartTag w:uri="urn:schemas-microsoft-com:office:smarttags" w:element="PersonName">
      <w:r w:rsidRPr="00332B12">
        <w:rPr>
          <w:sz w:val="16"/>
          <w:szCs w:val="16"/>
        </w:rPr>
        <w:t>Fee Schedule</w:t>
      </w:r>
    </w:smartTag>
    <w:r w:rsidRPr="00332B12">
      <w:rPr>
        <w:sz w:val="16"/>
        <w:szCs w:val="16"/>
      </w:rPr>
      <w:t xml:space="preserve"> – </w:t>
    </w:r>
    <w:r>
      <w:rPr>
        <w:sz w:val="16"/>
        <w:szCs w:val="16"/>
      </w:rPr>
      <w:t>Physician Fee Schedule</w:t>
    </w:r>
    <w:r w:rsidR="00D0045B">
      <w:rPr>
        <w:sz w:val="16"/>
        <w:szCs w:val="16"/>
      </w:rPr>
      <w:t xml:space="preserve"> and Pharmaceutical Fee Schedule</w:t>
    </w:r>
    <w:r>
      <w:rPr>
        <w:sz w:val="16"/>
        <w:szCs w:val="16"/>
      </w:rPr>
      <w:tab/>
    </w:r>
  </w:p>
  <w:p w14:paraId="5461E877" w14:textId="19B8EB63" w:rsidR="00002F34" w:rsidRPr="00332B12" w:rsidRDefault="00F948C6" w:rsidP="00A727B8">
    <w:pPr>
      <w:pStyle w:val="Footer"/>
      <w:rPr>
        <w:sz w:val="16"/>
        <w:szCs w:val="16"/>
      </w:rPr>
    </w:pPr>
    <w:r w:rsidRPr="00332B12">
      <w:rPr>
        <w:sz w:val="16"/>
        <w:szCs w:val="16"/>
      </w:rPr>
      <w:t>8 CCR §§ 9789.</w:t>
    </w:r>
    <w:r>
      <w:rPr>
        <w:sz w:val="16"/>
        <w:szCs w:val="16"/>
      </w:rPr>
      <w:t xml:space="preserve">12.1 et seq. </w:t>
    </w:r>
    <w:r w:rsidR="00DC2371">
      <w:rPr>
        <w:sz w:val="16"/>
        <w:szCs w:val="16"/>
      </w:rPr>
      <w:t>Final</w:t>
    </w:r>
    <w:r w:rsidR="00DC2371" w:rsidRPr="00332B12">
      <w:rPr>
        <w:sz w:val="16"/>
        <w:szCs w:val="16"/>
      </w:rPr>
      <w:t xml:space="preserve"> </w:t>
    </w:r>
    <w:r w:rsidR="00002F34" w:rsidRPr="00332B12">
      <w:rPr>
        <w:sz w:val="16"/>
        <w:szCs w:val="16"/>
      </w:rPr>
      <w:t>Statement of</w:t>
    </w:r>
    <w:r w:rsidR="00C26CB8">
      <w:rPr>
        <w:sz w:val="16"/>
        <w:szCs w:val="16"/>
      </w:rPr>
      <w:t xml:space="preserve"> Reasons (</w:t>
    </w:r>
    <w:r w:rsidR="00AE4DB6">
      <w:rPr>
        <w:sz w:val="16"/>
        <w:szCs w:val="16"/>
      </w:rPr>
      <w:t>December</w:t>
    </w:r>
    <w:r w:rsidR="00DC2371">
      <w:rPr>
        <w:sz w:val="16"/>
        <w:szCs w:val="16"/>
      </w:rPr>
      <w:t xml:space="preserve"> </w:t>
    </w:r>
    <w:r w:rsidR="006A22BB">
      <w:rPr>
        <w:sz w:val="16"/>
        <w:szCs w:val="16"/>
      </w:rPr>
      <w:t>202</w:t>
    </w:r>
    <w:r w:rsidR="00D14F4F">
      <w:rPr>
        <w:sz w:val="16"/>
        <w:szCs w:val="16"/>
      </w:rPr>
      <w:t>4</w:t>
    </w:r>
    <w:r w:rsidR="00002F34" w:rsidRPr="00332B12">
      <w:rPr>
        <w:sz w:val="16"/>
        <w:szCs w:val="16"/>
      </w:rPr>
      <w:t>)</w:t>
    </w:r>
    <w:r w:rsidR="00002F34" w:rsidRPr="00332B12">
      <w:rPr>
        <w:sz w:val="16"/>
        <w:szCs w:val="16"/>
      </w:rPr>
      <w:tab/>
    </w:r>
    <w:r w:rsidR="00002F34" w:rsidRPr="00332B12">
      <w:rPr>
        <w:snapToGrid w:val="0"/>
        <w:sz w:val="16"/>
        <w:szCs w:val="16"/>
      </w:rPr>
      <w:t xml:space="preserve">- </w:t>
    </w:r>
    <w:r w:rsidR="00002F34" w:rsidRPr="00332B12">
      <w:rPr>
        <w:snapToGrid w:val="0"/>
        <w:sz w:val="16"/>
        <w:szCs w:val="16"/>
      </w:rPr>
      <w:fldChar w:fldCharType="begin"/>
    </w:r>
    <w:r w:rsidR="00002F34" w:rsidRPr="00332B12">
      <w:rPr>
        <w:snapToGrid w:val="0"/>
        <w:sz w:val="16"/>
        <w:szCs w:val="16"/>
      </w:rPr>
      <w:instrText xml:space="preserve"> PAGE </w:instrText>
    </w:r>
    <w:r w:rsidR="00002F34" w:rsidRPr="00332B12">
      <w:rPr>
        <w:snapToGrid w:val="0"/>
        <w:sz w:val="16"/>
        <w:szCs w:val="16"/>
      </w:rPr>
      <w:fldChar w:fldCharType="separate"/>
    </w:r>
    <w:r w:rsidR="00EB3C38">
      <w:rPr>
        <w:noProof/>
        <w:snapToGrid w:val="0"/>
        <w:sz w:val="16"/>
        <w:szCs w:val="16"/>
      </w:rPr>
      <w:t>21</w:t>
    </w:r>
    <w:r w:rsidR="00002F34" w:rsidRPr="00332B12">
      <w:rPr>
        <w:snapToGrid w:val="0"/>
        <w:sz w:val="16"/>
        <w:szCs w:val="16"/>
      </w:rPr>
      <w:fldChar w:fldCharType="end"/>
    </w:r>
    <w:r w:rsidR="00002F34" w:rsidRPr="00332B12">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F2FA" w14:textId="77777777" w:rsidR="00B16912" w:rsidRDefault="00B16912">
      <w:r>
        <w:separator/>
      </w:r>
    </w:p>
  </w:footnote>
  <w:footnote w:type="continuationSeparator" w:id="0">
    <w:p w14:paraId="16230654" w14:textId="77777777" w:rsidR="00B16912" w:rsidRDefault="00B1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62EAEA"/>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10977B6"/>
    <w:multiLevelType w:val="hybridMultilevel"/>
    <w:tmpl w:val="A9800B98"/>
    <w:lvl w:ilvl="0" w:tplc="18E0A466">
      <w:start w:val="1"/>
      <w:numFmt w:val="bullet"/>
      <w:lvlText w:val=""/>
      <w:lvlJc w:val="left"/>
      <w:pPr>
        <w:tabs>
          <w:tab w:val="num" w:pos="855"/>
        </w:tabs>
        <w:ind w:left="855" w:hanging="360"/>
      </w:pPr>
      <w:rPr>
        <w:rFonts w:ascii="Symbol" w:hAnsi="Symbol" w:hint="default"/>
        <w:b/>
        <w:i w:val="0"/>
        <w:color w:val="auto"/>
        <w:sz w:val="20"/>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0A8B23F7"/>
    <w:multiLevelType w:val="hybridMultilevel"/>
    <w:tmpl w:val="5E5A302C"/>
    <w:lvl w:ilvl="0" w:tplc="408A71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FF854EF"/>
    <w:multiLevelType w:val="hybridMultilevel"/>
    <w:tmpl w:val="690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75B7"/>
    <w:multiLevelType w:val="hybridMultilevel"/>
    <w:tmpl w:val="32507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E2A8F"/>
    <w:multiLevelType w:val="hybridMultilevel"/>
    <w:tmpl w:val="260611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F382A"/>
    <w:multiLevelType w:val="hybridMultilevel"/>
    <w:tmpl w:val="76144610"/>
    <w:lvl w:ilvl="0" w:tplc="E7A093A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6A0457"/>
    <w:multiLevelType w:val="hybridMultilevel"/>
    <w:tmpl w:val="2D06A868"/>
    <w:lvl w:ilvl="0" w:tplc="D484674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900F1"/>
    <w:multiLevelType w:val="hybridMultilevel"/>
    <w:tmpl w:val="7D8A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C19BF"/>
    <w:multiLevelType w:val="hybridMultilevel"/>
    <w:tmpl w:val="DAD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56475"/>
    <w:multiLevelType w:val="hybridMultilevel"/>
    <w:tmpl w:val="5DFC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B0A3A"/>
    <w:multiLevelType w:val="hybridMultilevel"/>
    <w:tmpl w:val="1E42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6907E7"/>
    <w:multiLevelType w:val="hybridMultilevel"/>
    <w:tmpl w:val="18720ADE"/>
    <w:lvl w:ilvl="0" w:tplc="8ED633B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A5625"/>
    <w:multiLevelType w:val="hybridMultilevel"/>
    <w:tmpl w:val="11B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204BF"/>
    <w:multiLevelType w:val="hybridMultilevel"/>
    <w:tmpl w:val="9A74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43DA6"/>
    <w:multiLevelType w:val="hybridMultilevel"/>
    <w:tmpl w:val="D33E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424DF"/>
    <w:multiLevelType w:val="hybridMultilevel"/>
    <w:tmpl w:val="DB5CEDB4"/>
    <w:lvl w:ilvl="0" w:tplc="19A2BB10">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291770"/>
    <w:multiLevelType w:val="hybridMultilevel"/>
    <w:tmpl w:val="0D38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32B59"/>
    <w:multiLevelType w:val="hybridMultilevel"/>
    <w:tmpl w:val="F64C4C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2F433E"/>
    <w:multiLevelType w:val="hybridMultilevel"/>
    <w:tmpl w:val="B568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D1030"/>
    <w:multiLevelType w:val="hybridMultilevel"/>
    <w:tmpl w:val="75C45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625E4"/>
    <w:multiLevelType w:val="hybridMultilevel"/>
    <w:tmpl w:val="5CE0813A"/>
    <w:lvl w:ilvl="0" w:tplc="04090003">
      <w:start w:val="1"/>
      <w:numFmt w:val="bullet"/>
      <w:lvlText w:val="o"/>
      <w:lvlJc w:val="left"/>
      <w:pPr>
        <w:ind w:left="720" w:hanging="360"/>
      </w:pPr>
      <w:rPr>
        <w:rFonts w:ascii="Courier New" w:hAnsi="Courier New" w:cs="Courier New" w:hint="default"/>
      </w:rPr>
    </w:lvl>
    <w:lvl w:ilvl="1" w:tplc="34A86224">
      <w:start w:val="1"/>
      <w:numFmt w:val="lowerLetter"/>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3416C"/>
    <w:multiLevelType w:val="hybridMultilevel"/>
    <w:tmpl w:val="3DE61E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015586"/>
    <w:multiLevelType w:val="singleLevel"/>
    <w:tmpl w:val="99888488"/>
    <w:lvl w:ilvl="0">
      <w:start w:val="2"/>
      <w:numFmt w:val="lowerLetter"/>
      <w:lvlText w:val="(%1)"/>
      <w:lvlJc w:val="left"/>
      <w:pPr>
        <w:tabs>
          <w:tab w:val="num" w:pos="408"/>
        </w:tabs>
        <w:ind w:left="408" w:hanging="408"/>
      </w:pPr>
      <w:rPr>
        <w:rFonts w:hint="default"/>
      </w:rPr>
    </w:lvl>
  </w:abstractNum>
  <w:abstractNum w:abstractNumId="25" w15:restartNumberingAfterBreak="0">
    <w:nsid w:val="7C6C1207"/>
    <w:multiLevelType w:val="hybridMultilevel"/>
    <w:tmpl w:val="F38A9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100652">
    <w:abstractNumId w:val="24"/>
  </w:num>
  <w:num w:numId="2" w16cid:durableId="1446997703">
    <w:abstractNumId w:val="13"/>
  </w:num>
  <w:num w:numId="3" w16cid:durableId="463889518">
    <w:abstractNumId w:val="8"/>
  </w:num>
  <w:num w:numId="4" w16cid:durableId="650132711">
    <w:abstractNumId w:val="6"/>
  </w:num>
  <w:num w:numId="5" w16cid:durableId="59644748">
    <w:abstractNumId w:val="17"/>
  </w:num>
  <w:num w:numId="6" w16cid:durableId="411706136">
    <w:abstractNumId w:val="1"/>
  </w:num>
  <w:num w:numId="7" w16cid:durableId="932057410">
    <w:abstractNumId w:val="25"/>
  </w:num>
  <w:num w:numId="8" w16cid:durableId="1312906496">
    <w:abstractNumId w:val="11"/>
  </w:num>
  <w:num w:numId="9" w16cid:durableId="1689216521">
    <w:abstractNumId w:val="14"/>
  </w:num>
  <w:num w:numId="10" w16cid:durableId="80029171">
    <w:abstractNumId w:val="20"/>
  </w:num>
  <w:num w:numId="11" w16cid:durableId="828835618">
    <w:abstractNumId w:val="15"/>
  </w:num>
  <w:num w:numId="12" w16cid:durableId="1655452403">
    <w:abstractNumId w:val="3"/>
  </w:num>
  <w:num w:numId="13" w16cid:durableId="974136829">
    <w:abstractNumId w:val="0"/>
  </w:num>
  <w:num w:numId="14" w16cid:durableId="1626696752">
    <w:abstractNumId w:val="10"/>
  </w:num>
  <w:num w:numId="15" w16cid:durableId="1050035612">
    <w:abstractNumId w:val="18"/>
  </w:num>
  <w:num w:numId="16" w16cid:durableId="1737246001">
    <w:abstractNumId w:val="16"/>
  </w:num>
  <w:num w:numId="17" w16cid:durableId="2020959770">
    <w:abstractNumId w:val="21"/>
  </w:num>
  <w:num w:numId="18" w16cid:durableId="148523718">
    <w:abstractNumId w:val="22"/>
  </w:num>
  <w:num w:numId="19" w16cid:durableId="1871457528">
    <w:abstractNumId w:val="23"/>
  </w:num>
  <w:num w:numId="20" w16cid:durableId="542405870">
    <w:abstractNumId w:val="4"/>
  </w:num>
  <w:num w:numId="21" w16cid:durableId="1799909567">
    <w:abstractNumId w:val="2"/>
  </w:num>
  <w:num w:numId="22" w16cid:durableId="1973243157">
    <w:abstractNumId w:val="5"/>
  </w:num>
  <w:num w:numId="23" w16cid:durableId="323971729">
    <w:abstractNumId w:val="19"/>
  </w:num>
  <w:num w:numId="24" w16cid:durableId="343243216">
    <w:abstractNumId w:val="12"/>
  </w:num>
  <w:num w:numId="25" w16cid:durableId="1476872817">
    <w:abstractNumId w:val="7"/>
  </w:num>
  <w:num w:numId="26" w16cid:durableId="93096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OwMDCwMDIytzSyNLJQ0lEKTi0uzszPAykwMqoFABNLOx8tAAAA"/>
  </w:docVars>
  <w:rsids>
    <w:rsidRoot w:val="008C7C0A"/>
    <w:rsid w:val="00000013"/>
    <w:rsid w:val="00000837"/>
    <w:rsid w:val="00000A64"/>
    <w:rsid w:val="0000184B"/>
    <w:rsid w:val="00001D59"/>
    <w:rsid w:val="000029B3"/>
    <w:rsid w:val="00002D04"/>
    <w:rsid w:val="00002F34"/>
    <w:rsid w:val="0000423A"/>
    <w:rsid w:val="000050A6"/>
    <w:rsid w:val="00010066"/>
    <w:rsid w:val="00010C20"/>
    <w:rsid w:val="00010F92"/>
    <w:rsid w:val="0001156A"/>
    <w:rsid w:val="00011775"/>
    <w:rsid w:val="00011944"/>
    <w:rsid w:val="00011A0A"/>
    <w:rsid w:val="00011F84"/>
    <w:rsid w:val="000137B8"/>
    <w:rsid w:val="0001565F"/>
    <w:rsid w:val="0001657E"/>
    <w:rsid w:val="00017461"/>
    <w:rsid w:val="000177B8"/>
    <w:rsid w:val="00017BD9"/>
    <w:rsid w:val="00020C5A"/>
    <w:rsid w:val="00020E88"/>
    <w:rsid w:val="00021700"/>
    <w:rsid w:val="000219A7"/>
    <w:rsid w:val="000231AE"/>
    <w:rsid w:val="000232D3"/>
    <w:rsid w:val="00023470"/>
    <w:rsid w:val="00023B03"/>
    <w:rsid w:val="00024746"/>
    <w:rsid w:val="00024B20"/>
    <w:rsid w:val="00025518"/>
    <w:rsid w:val="00025567"/>
    <w:rsid w:val="000276A2"/>
    <w:rsid w:val="00027F71"/>
    <w:rsid w:val="000306F3"/>
    <w:rsid w:val="00031879"/>
    <w:rsid w:val="00033C65"/>
    <w:rsid w:val="00033D04"/>
    <w:rsid w:val="000342BF"/>
    <w:rsid w:val="00034776"/>
    <w:rsid w:val="00035327"/>
    <w:rsid w:val="000360D3"/>
    <w:rsid w:val="00037D62"/>
    <w:rsid w:val="0004074F"/>
    <w:rsid w:val="00040DBB"/>
    <w:rsid w:val="00042210"/>
    <w:rsid w:val="000425C1"/>
    <w:rsid w:val="000433B4"/>
    <w:rsid w:val="00043A42"/>
    <w:rsid w:val="0004401F"/>
    <w:rsid w:val="00045051"/>
    <w:rsid w:val="00045AE8"/>
    <w:rsid w:val="00046992"/>
    <w:rsid w:val="00046EA4"/>
    <w:rsid w:val="000516CB"/>
    <w:rsid w:val="00052F3A"/>
    <w:rsid w:val="0005478C"/>
    <w:rsid w:val="00055FD1"/>
    <w:rsid w:val="00057B37"/>
    <w:rsid w:val="00057D0C"/>
    <w:rsid w:val="00060330"/>
    <w:rsid w:val="00061288"/>
    <w:rsid w:val="00062258"/>
    <w:rsid w:val="0006391E"/>
    <w:rsid w:val="00063D47"/>
    <w:rsid w:val="000643EE"/>
    <w:rsid w:val="00064E65"/>
    <w:rsid w:val="00064ED8"/>
    <w:rsid w:val="00065F43"/>
    <w:rsid w:val="00066506"/>
    <w:rsid w:val="000668B4"/>
    <w:rsid w:val="00066E7E"/>
    <w:rsid w:val="00067A7E"/>
    <w:rsid w:val="00067C4B"/>
    <w:rsid w:val="00067D2B"/>
    <w:rsid w:val="00071643"/>
    <w:rsid w:val="000717E3"/>
    <w:rsid w:val="00072A9C"/>
    <w:rsid w:val="00072CC3"/>
    <w:rsid w:val="000736C8"/>
    <w:rsid w:val="00074A91"/>
    <w:rsid w:val="00074DE0"/>
    <w:rsid w:val="000752E9"/>
    <w:rsid w:val="000761BA"/>
    <w:rsid w:val="000772D5"/>
    <w:rsid w:val="0007790A"/>
    <w:rsid w:val="00077C2F"/>
    <w:rsid w:val="00080B99"/>
    <w:rsid w:val="00080EB0"/>
    <w:rsid w:val="000824B7"/>
    <w:rsid w:val="00082EB9"/>
    <w:rsid w:val="00083C56"/>
    <w:rsid w:val="0008488A"/>
    <w:rsid w:val="00085C41"/>
    <w:rsid w:val="000865CE"/>
    <w:rsid w:val="00087241"/>
    <w:rsid w:val="00087B4D"/>
    <w:rsid w:val="00087B69"/>
    <w:rsid w:val="0009012A"/>
    <w:rsid w:val="0009162D"/>
    <w:rsid w:val="00091B16"/>
    <w:rsid w:val="0009200D"/>
    <w:rsid w:val="00092B37"/>
    <w:rsid w:val="0009300D"/>
    <w:rsid w:val="0009347C"/>
    <w:rsid w:val="000939C5"/>
    <w:rsid w:val="0009408E"/>
    <w:rsid w:val="000942B5"/>
    <w:rsid w:val="00094967"/>
    <w:rsid w:val="00095259"/>
    <w:rsid w:val="00096C9F"/>
    <w:rsid w:val="00097D18"/>
    <w:rsid w:val="000A18C4"/>
    <w:rsid w:val="000A3D28"/>
    <w:rsid w:val="000A4028"/>
    <w:rsid w:val="000A48A0"/>
    <w:rsid w:val="000A5AA3"/>
    <w:rsid w:val="000A5F6D"/>
    <w:rsid w:val="000A62C7"/>
    <w:rsid w:val="000A6B52"/>
    <w:rsid w:val="000A71D0"/>
    <w:rsid w:val="000B05A5"/>
    <w:rsid w:val="000B0E99"/>
    <w:rsid w:val="000B1483"/>
    <w:rsid w:val="000B323F"/>
    <w:rsid w:val="000B34A5"/>
    <w:rsid w:val="000B3B50"/>
    <w:rsid w:val="000B46BD"/>
    <w:rsid w:val="000B4B7F"/>
    <w:rsid w:val="000B4F44"/>
    <w:rsid w:val="000B66F2"/>
    <w:rsid w:val="000B6D00"/>
    <w:rsid w:val="000C07E7"/>
    <w:rsid w:val="000C08E2"/>
    <w:rsid w:val="000C1423"/>
    <w:rsid w:val="000C2830"/>
    <w:rsid w:val="000C3381"/>
    <w:rsid w:val="000C3C35"/>
    <w:rsid w:val="000C443A"/>
    <w:rsid w:val="000C4516"/>
    <w:rsid w:val="000C5354"/>
    <w:rsid w:val="000C596E"/>
    <w:rsid w:val="000C5A0C"/>
    <w:rsid w:val="000C5C95"/>
    <w:rsid w:val="000C7CC3"/>
    <w:rsid w:val="000D02A0"/>
    <w:rsid w:val="000D07F7"/>
    <w:rsid w:val="000D0950"/>
    <w:rsid w:val="000D0C34"/>
    <w:rsid w:val="000D183D"/>
    <w:rsid w:val="000D3129"/>
    <w:rsid w:val="000D3419"/>
    <w:rsid w:val="000D448A"/>
    <w:rsid w:val="000D4B18"/>
    <w:rsid w:val="000D56CF"/>
    <w:rsid w:val="000D5A3D"/>
    <w:rsid w:val="000D6322"/>
    <w:rsid w:val="000D6E31"/>
    <w:rsid w:val="000D7E9C"/>
    <w:rsid w:val="000E088A"/>
    <w:rsid w:val="000E09B8"/>
    <w:rsid w:val="000E11C8"/>
    <w:rsid w:val="000E1420"/>
    <w:rsid w:val="000E30DB"/>
    <w:rsid w:val="000E4217"/>
    <w:rsid w:val="000E4D0F"/>
    <w:rsid w:val="000E6839"/>
    <w:rsid w:val="000E7264"/>
    <w:rsid w:val="000E79A2"/>
    <w:rsid w:val="000F298A"/>
    <w:rsid w:val="000F3BC2"/>
    <w:rsid w:val="000F3FB9"/>
    <w:rsid w:val="000F40CD"/>
    <w:rsid w:val="000F58AC"/>
    <w:rsid w:val="000F5FE4"/>
    <w:rsid w:val="000F65C1"/>
    <w:rsid w:val="000F6815"/>
    <w:rsid w:val="000F7FD5"/>
    <w:rsid w:val="00100BF3"/>
    <w:rsid w:val="00100E7F"/>
    <w:rsid w:val="00101306"/>
    <w:rsid w:val="0010151E"/>
    <w:rsid w:val="0010152C"/>
    <w:rsid w:val="00104260"/>
    <w:rsid w:val="00105288"/>
    <w:rsid w:val="00105459"/>
    <w:rsid w:val="001062F8"/>
    <w:rsid w:val="00106722"/>
    <w:rsid w:val="001072B1"/>
    <w:rsid w:val="0011254E"/>
    <w:rsid w:val="001127A1"/>
    <w:rsid w:val="001144A3"/>
    <w:rsid w:val="00115A1B"/>
    <w:rsid w:val="00116F4C"/>
    <w:rsid w:val="00117462"/>
    <w:rsid w:val="00117491"/>
    <w:rsid w:val="00120E31"/>
    <w:rsid w:val="00121CE5"/>
    <w:rsid w:val="001224B5"/>
    <w:rsid w:val="00122D37"/>
    <w:rsid w:val="00123FB4"/>
    <w:rsid w:val="0012449F"/>
    <w:rsid w:val="0012552C"/>
    <w:rsid w:val="0012659C"/>
    <w:rsid w:val="00126991"/>
    <w:rsid w:val="001274BF"/>
    <w:rsid w:val="00130CAB"/>
    <w:rsid w:val="001313F1"/>
    <w:rsid w:val="00131F24"/>
    <w:rsid w:val="001321E0"/>
    <w:rsid w:val="00132966"/>
    <w:rsid w:val="00133786"/>
    <w:rsid w:val="0013417F"/>
    <w:rsid w:val="00134325"/>
    <w:rsid w:val="00135D6A"/>
    <w:rsid w:val="0013668E"/>
    <w:rsid w:val="00137081"/>
    <w:rsid w:val="00137E2B"/>
    <w:rsid w:val="001404AC"/>
    <w:rsid w:val="001411AF"/>
    <w:rsid w:val="0014126E"/>
    <w:rsid w:val="001417DE"/>
    <w:rsid w:val="00142437"/>
    <w:rsid w:val="00145689"/>
    <w:rsid w:val="00145EAD"/>
    <w:rsid w:val="00146563"/>
    <w:rsid w:val="00150873"/>
    <w:rsid w:val="00150CF4"/>
    <w:rsid w:val="00152E98"/>
    <w:rsid w:val="00152EE1"/>
    <w:rsid w:val="00155EC6"/>
    <w:rsid w:val="00156211"/>
    <w:rsid w:val="00156C59"/>
    <w:rsid w:val="00157BF7"/>
    <w:rsid w:val="00157F13"/>
    <w:rsid w:val="001605E0"/>
    <w:rsid w:val="00160685"/>
    <w:rsid w:val="001606CD"/>
    <w:rsid w:val="0016078A"/>
    <w:rsid w:val="00161BAF"/>
    <w:rsid w:val="00161CE8"/>
    <w:rsid w:val="00163CC9"/>
    <w:rsid w:val="001641E1"/>
    <w:rsid w:val="0016432D"/>
    <w:rsid w:val="00164C94"/>
    <w:rsid w:val="00165104"/>
    <w:rsid w:val="00165621"/>
    <w:rsid w:val="001657F7"/>
    <w:rsid w:val="00165B01"/>
    <w:rsid w:val="00166632"/>
    <w:rsid w:val="001667AB"/>
    <w:rsid w:val="00167221"/>
    <w:rsid w:val="001708F0"/>
    <w:rsid w:val="00170BF7"/>
    <w:rsid w:val="00171327"/>
    <w:rsid w:val="00172A57"/>
    <w:rsid w:val="00173EB2"/>
    <w:rsid w:val="001744B8"/>
    <w:rsid w:val="001754F8"/>
    <w:rsid w:val="0017591D"/>
    <w:rsid w:val="001769AF"/>
    <w:rsid w:val="0017785D"/>
    <w:rsid w:val="001805AD"/>
    <w:rsid w:val="00180DAC"/>
    <w:rsid w:val="001814B5"/>
    <w:rsid w:val="00182401"/>
    <w:rsid w:val="001830EC"/>
    <w:rsid w:val="001834DA"/>
    <w:rsid w:val="00183595"/>
    <w:rsid w:val="00184AA2"/>
    <w:rsid w:val="0018510F"/>
    <w:rsid w:val="00185615"/>
    <w:rsid w:val="00187340"/>
    <w:rsid w:val="00187829"/>
    <w:rsid w:val="00190078"/>
    <w:rsid w:val="00191962"/>
    <w:rsid w:val="001926E4"/>
    <w:rsid w:val="001930F3"/>
    <w:rsid w:val="00193B18"/>
    <w:rsid w:val="00195AC9"/>
    <w:rsid w:val="00195F60"/>
    <w:rsid w:val="0019611A"/>
    <w:rsid w:val="0019648A"/>
    <w:rsid w:val="00196702"/>
    <w:rsid w:val="00196770"/>
    <w:rsid w:val="0019715A"/>
    <w:rsid w:val="00197BD3"/>
    <w:rsid w:val="001A0022"/>
    <w:rsid w:val="001A0C30"/>
    <w:rsid w:val="001A1066"/>
    <w:rsid w:val="001A169D"/>
    <w:rsid w:val="001A4EF5"/>
    <w:rsid w:val="001A531B"/>
    <w:rsid w:val="001A7242"/>
    <w:rsid w:val="001A7366"/>
    <w:rsid w:val="001B1013"/>
    <w:rsid w:val="001B103E"/>
    <w:rsid w:val="001B2AD4"/>
    <w:rsid w:val="001B399D"/>
    <w:rsid w:val="001B6DC6"/>
    <w:rsid w:val="001C0C26"/>
    <w:rsid w:val="001C1203"/>
    <w:rsid w:val="001C1D3C"/>
    <w:rsid w:val="001C451B"/>
    <w:rsid w:val="001C5201"/>
    <w:rsid w:val="001C5299"/>
    <w:rsid w:val="001C5EBE"/>
    <w:rsid w:val="001C6A9B"/>
    <w:rsid w:val="001C6B53"/>
    <w:rsid w:val="001D13DC"/>
    <w:rsid w:val="001D224C"/>
    <w:rsid w:val="001D3442"/>
    <w:rsid w:val="001D3C3E"/>
    <w:rsid w:val="001D3F9C"/>
    <w:rsid w:val="001D4AD3"/>
    <w:rsid w:val="001D4AE1"/>
    <w:rsid w:val="001D6655"/>
    <w:rsid w:val="001D6C97"/>
    <w:rsid w:val="001D7423"/>
    <w:rsid w:val="001D7541"/>
    <w:rsid w:val="001E01F4"/>
    <w:rsid w:val="001E1A81"/>
    <w:rsid w:val="001E22DD"/>
    <w:rsid w:val="001E27AA"/>
    <w:rsid w:val="001E2BBA"/>
    <w:rsid w:val="001E2C07"/>
    <w:rsid w:val="001E2DAC"/>
    <w:rsid w:val="001E37B9"/>
    <w:rsid w:val="001E3B6E"/>
    <w:rsid w:val="001E4CD5"/>
    <w:rsid w:val="001E4DE2"/>
    <w:rsid w:val="001E50E6"/>
    <w:rsid w:val="001E73BB"/>
    <w:rsid w:val="001E759A"/>
    <w:rsid w:val="001E75F6"/>
    <w:rsid w:val="001E76C5"/>
    <w:rsid w:val="001F1618"/>
    <w:rsid w:val="001F1A7D"/>
    <w:rsid w:val="001F25F6"/>
    <w:rsid w:val="001F4C82"/>
    <w:rsid w:val="00200308"/>
    <w:rsid w:val="00200520"/>
    <w:rsid w:val="00200851"/>
    <w:rsid w:val="00200B5B"/>
    <w:rsid w:val="00200D8B"/>
    <w:rsid w:val="00201BAD"/>
    <w:rsid w:val="002039B7"/>
    <w:rsid w:val="002039D7"/>
    <w:rsid w:val="00204FAE"/>
    <w:rsid w:val="0020656D"/>
    <w:rsid w:val="00206FC7"/>
    <w:rsid w:val="0020751B"/>
    <w:rsid w:val="00210370"/>
    <w:rsid w:val="00210462"/>
    <w:rsid w:val="002110BD"/>
    <w:rsid w:val="002111E2"/>
    <w:rsid w:val="002122EE"/>
    <w:rsid w:val="0021286E"/>
    <w:rsid w:val="00213895"/>
    <w:rsid w:val="00213D51"/>
    <w:rsid w:val="00214863"/>
    <w:rsid w:val="002149A3"/>
    <w:rsid w:val="0021596C"/>
    <w:rsid w:val="00215D02"/>
    <w:rsid w:val="002165C6"/>
    <w:rsid w:val="00216ECE"/>
    <w:rsid w:val="00220836"/>
    <w:rsid w:val="00221E67"/>
    <w:rsid w:val="00222B76"/>
    <w:rsid w:val="0022547F"/>
    <w:rsid w:val="002259CF"/>
    <w:rsid w:val="00226F5D"/>
    <w:rsid w:val="00230A1A"/>
    <w:rsid w:val="00232315"/>
    <w:rsid w:val="00232AF9"/>
    <w:rsid w:val="00233444"/>
    <w:rsid w:val="002351A2"/>
    <w:rsid w:val="0023787E"/>
    <w:rsid w:val="00240B4E"/>
    <w:rsid w:val="00241289"/>
    <w:rsid w:val="00241435"/>
    <w:rsid w:val="00241F07"/>
    <w:rsid w:val="002432F8"/>
    <w:rsid w:val="00243385"/>
    <w:rsid w:val="00244AA8"/>
    <w:rsid w:val="0024524E"/>
    <w:rsid w:val="00245328"/>
    <w:rsid w:val="00246165"/>
    <w:rsid w:val="0024727C"/>
    <w:rsid w:val="00250A9C"/>
    <w:rsid w:val="002510E9"/>
    <w:rsid w:val="00251151"/>
    <w:rsid w:val="002538C5"/>
    <w:rsid w:val="0025415E"/>
    <w:rsid w:val="002545E3"/>
    <w:rsid w:val="00254B2F"/>
    <w:rsid w:val="00255343"/>
    <w:rsid w:val="002553B1"/>
    <w:rsid w:val="00257548"/>
    <w:rsid w:val="00257784"/>
    <w:rsid w:val="00257AA6"/>
    <w:rsid w:val="0026024A"/>
    <w:rsid w:val="0026072F"/>
    <w:rsid w:val="00260E98"/>
    <w:rsid w:val="00261CBD"/>
    <w:rsid w:val="002624B4"/>
    <w:rsid w:val="0026268D"/>
    <w:rsid w:val="00262F60"/>
    <w:rsid w:val="0026367C"/>
    <w:rsid w:val="002656C0"/>
    <w:rsid w:val="00265AF4"/>
    <w:rsid w:val="00270AED"/>
    <w:rsid w:val="00270B3E"/>
    <w:rsid w:val="00270BFD"/>
    <w:rsid w:val="00271B1D"/>
    <w:rsid w:val="00271B39"/>
    <w:rsid w:val="00272FAE"/>
    <w:rsid w:val="00276515"/>
    <w:rsid w:val="00281882"/>
    <w:rsid w:val="00281DDA"/>
    <w:rsid w:val="0028256A"/>
    <w:rsid w:val="00283125"/>
    <w:rsid w:val="00283271"/>
    <w:rsid w:val="00283F07"/>
    <w:rsid w:val="00284459"/>
    <w:rsid w:val="00284583"/>
    <w:rsid w:val="002861A9"/>
    <w:rsid w:val="0028621D"/>
    <w:rsid w:val="002869F9"/>
    <w:rsid w:val="00287B99"/>
    <w:rsid w:val="00290C12"/>
    <w:rsid w:val="00292431"/>
    <w:rsid w:val="0029289F"/>
    <w:rsid w:val="002929BB"/>
    <w:rsid w:val="00292F44"/>
    <w:rsid w:val="0029363E"/>
    <w:rsid w:val="00293701"/>
    <w:rsid w:val="00293DDC"/>
    <w:rsid w:val="00294632"/>
    <w:rsid w:val="002949BD"/>
    <w:rsid w:val="00295B16"/>
    <w:rsid w:val="002963E8"/>
    <w:rsid w:val="00296776"/>
    <w:rsid w:val="00297143"/>
    <w:rsid w:val="00297180"/>
    <w:rsid w:val="00297327"/>
    <w:rsid w:val="002A0F22"/>
    <w:rsid w:val="002A16C9"/>
    <w:rsid w:val="002A25D2"/>
    <w:rsid w:val="002A265B"/>
    <w:rsid w:val="002A3AE0"/>
    <w:rsid w:val="002A4D0D"/>
    <w:rsid w:val="002A4EF6"/>
    <w:rsid w:val="002A51F9"/>
    <w:rsid w:val="002A5403"/>
    <w:rsid w:val="002A583A"/>
    <w:rsid w:val="002A5BCF"/>
    <w:rsid w:val="002A6A90"/>
    <w:rsid w:val="002A7BCD"/>
    <w:rsid w:val="002B00C0"/>
    <w:rsid w:val="002B04A3"/>
    <w:rsid w:val="002B053B"/>
    <w:rsid w:val="002B113F"/>
    <w:rsid w:val="002B1FCF"/>
    <w:rsid w:val="002B31E0"/>
    <w:rsid w:val="002B3596"/>
    <w:rsid w:val="002B39D9"/>
    <w:rsid w:val="002B4C9F"/>
    <w:rsid w:val="002B52C6"/>
    <w:rsid w:val="002C1290"/>
    <w:rsid w:val="002C2CE1"/>
    <w:rsid w:val="002C4417"/>
    <w:rsid w:val="002C52DA"/>
    <w:rsid w:val="002C52EB"/>
    <w:rsid w:val="002C5BA5"/>
    <w:rsid w:val="002C64AC"/>
    <w:rsid w:val="002C6882"/>
    <w:rsid w:val="002C731F"/>
    <w:rsid w:val="002C7E93"/>
    <w:rsid w:val="002D040B"/>
    <w:rsid w:val="002D0597"/>
    <w:rsid w:val="002D0B2A"/>
    <w:rsid w:val="002D41E4"/>
    <w:rsid w:val="002D46DA"/>
    <w:rsid w:val="002D5445"/>
    <w:rsid w:val="002D5728"/>
    <w:rsid w:val="002D6A90"/>
    <w:rsid w:val="002D6B30"/>
    <w:rsid w:val="002D7FB4"/>
    <w:rsid w:val="002E0269"/>
    <w:rsid w:val="002E2146"/>
    <w:rsid w:val="002E222C"/>
    <w:rsid w:val="002E2A01"/>
    <w:rsid w:val="002E2F3C"/>
    <w:rsid w:val="002E33BB"/>
    <w:rsid w:val="002E386C"/>
    <w:rsid w:val="002E3A7E"/>
    <w:rsid w:val="002E3BD3"/>
    <w:rsid w:val="002E5816"/>
    <w:rsid w:val="002E587C"/>
    <w:rsid w:val="002E6BAB"/>
    <w:rsid w:val="002E734D"/>
    <w:rsid w:val="002E7907"/>
    <w:rsid w:val="002F0308"/>
    <w:rsid w:val="002F037F"/>
    <w:rsid w:val="002F041A"/>
    <w:rsid w:val="002F0636"/>
    <w:rsid w:val="002F0BB1"/>
    <w:rsid w:val="002F2780"/>
    <w:rsid w:val="002F33D3"/>
    <w:rsid w:val="002F35CB"/>
    <w:rsid w:val="002F369B"/>
    <w:rsid w:val="002F36B2"/>
    <w:rsid w:val="002F4A01"/>
    <w:rsid w:val="002F7024"/>
    <w:rsid w:val="002F707A"/>
    <w:rsid w:val="002F70B7"/>
    <w:rsid w:val="002F7C3F"/>
    <w:rsid w:val="002F7CD0"/>
    <w:rsid w:val="00300DB6"/>
    <w:rsid w:val="00301223"/>
    <w:rsid w:val="003023EA"/>
    <w:rsid w:val="00302521"/>
    <w:rsid w:val="0030272B"/>
    <w:rsid w:val="003027B5"/>
    <w:rsid w:val="00302A9C"/>
    <w:rsid w:val="00302B81"/>
    <w:rsid w:val="0030315A"/>
    <w:rsid w:val="003031EA"/>
    <w:rsid w:val="00305DA1"/>
    <w:rsid w:val="003072C4"/>
    <w:rsid w:val="00307BBA"/>
    <w:rsid w:val="00307CB6"/>
    <w:rsid w:val="00312F81"/>
    <w:rsid w:val="003138AA"/>
    <w:rsid w:val="00314ACE"/>
    <w:rsid w:val="00320035"/>
    <w:rsid w:val="00320145"/>
    <w:rsid w:val="003205BB"/>
    <w:rsid w:val="00321415"/>
    <w:rsid w:val="0032175B"/>
    <w:rsid w:val="00321FBB"/>
    <w:rsid w:val="00322AB0"/>
    <w:rsid w:val="00322DCF"/>
    <w:rsid w:val="00323C3B"/>
    <w:rsid w:val="00324C82"/>
    <w:rsid w:val="0032533A"/>
    <w:rsid w:val="003277B7"/>
    <w:rsid w:val="00327BB7"/>
    <w:rsid w:val="003315D0"/>
    <w:rsid w:val="00332B12"/>
    <w:rsid w:val="00332E71"/>
    <w:rsid w:val="003330DB"/>
    <w:rsid w:val="00333406"/>
    <w:rsid w:val="003348EF"/>
    <w:rsid w:val="0033542C"/>
    <w:rsid w:val="00335D40"/>
    <w:rsid w:val="00336443"/>
    <w:rsid w:val="00336A6D"/>
    <w:rsid w:val="00337979"/>
    <w:rsid w:val="00340982"/>
    <w:rsid w:val="00342847"/>
    <w:rsid w:val="0034317E"/>
    <w:rsid w:val="00343A45"/>
    <w:rsid w:val="00343C05"/>
    <w:rsid w:val="003441AE"/>
    <w:rsid w:val="003443CF"/>
    <w:rsid w:val="00344E5A"/>
    <w:rsid w:val="00344F70"/>
    <w:rsid w:val="00345B1B"/>
    <w:rsid w:val="00345F48"/>
    <w:rsid w:val="003469A8"/>
    <w:rsid w:val="00346A34"/>
    <w:rsid w:val="00351F01"/>
    <w:rsid w:val="0035224F"/>
    <w:rsid w:val="003529E7"/>
    <w:rsid w:val="00352A7F"/>
    <w:rsid w:val="00352AB9"/>
    <w:rsid w:val="00353D11"/>
    <w:rsid w:val="00353DAA"/>
    <w:rsid w:val="00355016"/>
    <w:rsid w:val="00355358"/>
    <w:rsid w:val="0035559B"/>
    <w:rsid w:val="00356BB2"/>
    <w:rsid w:val="00356D6B"/>
    <w:rsid w:val="00356D98"/>
    <w:rsid w:val="00357DCE"/>
    <w:rsid w:val="00360E2B"/>
    <w:rsid w:val="0036159C"/>
    <w:rsid w:val="00361925"/>
    <w:rsid w:val="00362DBE"/>
    <w:rsid w:val="00363ABC"/>
    <w:rsid w:val="00363D3D"/>
    <w:rsid w:val="0036432A"/>
    <w:rsid w:val="0036473C"/>
    <w:rsid w:val="00364E17"/>
    <w:rsid w:val="00365B72"/>
    <w:rsid w:val="00366F70"/>
    <w:rsid w:val="0036787A"/>
    <w:rsid w:val="003701DB"/>
    <w:rsid w:val="0037035F"/>
    <w:rsid w:val="00370A52"/>
    <w:rsid w:val="003716E2"/>
    <w:rsid w:val="003730D9"/>
    <w:rsid w:val="0037424A"/>
    <w:rsid w:val="0037499C"/>
    <w:rsid w:val="00374CA2"/>
    <w:rsid w:val="00375977"/>
    <w:rsid w:val="00377FA2"/>
    <w:rsid w:val="003803CA"/>
    <w:rsid w:val="003816D4"/>
    <w:rsid w:val="00382D6C"/>
    <w:rsid w:val="003861F0"/>
    <w:rsid w:val="003864FA"/>
    <w:rsid w:val="00387A3D"/>
    <w:rsid w:val="00387FF6"/>
    <w:rsid w:val="003900E4"/>
    <w:rsid w:val="003902D4"/>
    <w:rsid w:val="003931BF"/>
    <w:rsid w:val="003933E3"/>
    <w:rsid w:val="003938EE"/>
    <w:rsid w:val="00394278"/>
    <w:rsid w:val="0039491D"/>
    <w:rsid w:val="00394F1D"/>
    <w:rsid w:val="00396C6B"/>
    <w:rsid w:val="00396F39"/>
    <w:rsid w:val="00397C12"/>
    <w:rsid w:val="003A12F3"/>
    <w:rsid w:val="003A1A35"/>
    <w:rsid w:val="003A2400"/>
    <w:rsid w:val="003A25BB"/>
    <w:rsid w:val="003A28F9"/>
    <w:rsid w:val="003A33B8"/>
    <w:rsid w:val="003A36E7"/>
    <w:rsid w:val="003A50D6"/>
    <w:rsid w:val="003A5498"/>
    <w:rsid w:val="003A660C"/>
    <w:rsid w:val="003B1797"/>
    <w:rsid w:val="003B2B6C"/>
    <w:rsid w:val="003B2D71"/>
    <w:rsid w:val="003B42D7"/>
    <w:rsid w:val="003B43B8"/>
    <w:rsid w:val="003B4647"/>
    <w:rsid w:val="003B4DEE"/>
    <w:rsid w:val="003B5684"/>
    <w:rsid w:val="003B5717"/>
    <w:rsid w:val="003B6235"/>
    <w:rsid w:val="003B67A6"/>
    <w:rsid w:val="003B6BA7"/>
    <w:rsid w:val="003B763F"/>
    <w:rsid w:val="003C1F94"/>
    <w:rsid w:val="003C3722"/>
    <w:rsid w:val="003C3B9E"/>
    <w:rsid w:val="003C3DEA"/>
    <w:rsid w:val="003C446D"/>
    <w:rsid w:val="003C6535"/>
    <w:rsid w:val="003C67CB"/>
    <w:rsid w:val="003C73F2"/>
    <w:rsid w:val="003C74A9"/>
    <w:rsid w:val="003C7A67"/>
    <w:rsid w:val="003D0363"/>
    <w:rsid w:val="003D0BC3"/>
    <w:rsid w:val="003D22CF"/>
    <w:rsid w:val="003D23CE"/>
    <w:rsid w:val="003D3969"/>
    <w:rsid w:val="003D46FE"/>
    <w:rsid w:val="003D555B"/>
    <w:rsid w:val="003E121A"/>
    <w:rsid w:val="003E124E"/>
    <w:rsid w:val="003E12ED"/>
    <w:rsid w:val="003E1AA6"/>
    <w:rsid w:val="003E1FA1"/>
    <w:rsid w:val="003E2D71"/>
    <w:rsid w:val="003E36E6"/>
    <w:rsid w:val="003E38F2"/>
    <w:rsid w:val="003E3B5A"/>
    <w:rsid w:val="003E7902"/>
    <w:rsid w:val="003E7AD3"/>
    <w:rsid w:val="003E7C87"/>
    <w:rsid w:val="003F0B88"/>
    <w:rsid w:val="003F1A7D"/>
    <w:rsid w:val="003F23AF"/>
    <w:rsid w:val="003F2BAD"/>
    <w:rsid w:val="003F33C6"/>
    <w:rsid w:val="003F4245"/>
    <w:rsid w:val="003F4535"/>
    <w:rsid w:val="003F5034"/>
    <w:rsid w:val="00400320"/>
    <w:rsid w:val="00402018"/>
    <w:rsid w:val="00402C5F"/>
    <w:rsid w:val="004031A5"/>
    <w:rsid w:val="00403B24"/>
    <w:rsid w:val="004054F1"/>
    <w:rsid w:val="00407130"/>
    <w:rsid w:val="004074F5"/>
    <w:rsid w:val="00407B50"/>
    <w:rsid w:val="004104E7"/>
    <w:rsid w:val="00410D76"/>
    <w:rsid w:val="00411AC9"/>
    <w:rsid w:val="00411AD8"/>
    <w:rsid w:val="00412E4B"/>
    <w:rsid w:val="0041563E"/>
    <w:rsid w:val="00415D89"/>
    <w:rsid w:val="00417506"/>
    <w:rsid w:val="00417CD2"/>
    <w:rsid w:val="004207D5"/>
    <w:rsid w:val="004208CF"/>
    <w:rsid w:val="00420B87"/>
    <w:rsid w:val="00420C38"/>
    <w:rsid w:val="00424C38"/>
    <w:rsid w:val="00424C78"/>
    <w:rsid w:val="00424DDC"/>
    <w:rsid w:val="0042525D"/>
    <w:rsid w:val="004252D3"/>
    <w:rsid w:val="004258DC"/>
    <w:rsid w:val="00425B5E"/>
    <w:rsid w:val="00425BBC"/>
    <w:rsid w:val="00427E80"/>
    <w:rsid w:val="00430957"/>
    <w:rsid w:val="00431223"/>
    <w:rsid w:val="0043131B"/>
    <w:rsid w:val="004326B9"/>
    <w:rsid w:val="00433BB3"/>
    <w:rsid w:val="0043410F"/>
    <w:rsid w:val="00434275"/>
    <w:rsid w:val="004354FE"/>
    <w:rsid w:val="0043665B"/>
    <w:rsid w:val="00436E7A"/>
    <w:rsid w:val="00440451"/>
    <w:rsid w:val="00441537"/>
    <w:rsid w:val="00441669"/>
    <w:rsid w:val="00441C3B"/>
    <w:rsid w:val="004423BE"/>
    <w:rsid w:val="00443514"/>
    <w:rsid w:val="00443AF0"/>
    <w:rsid w:val="00443DAF"/>
    <w:rsid w:val="00444025"/>
    <w:rsid w:val="00445BF6"/>
    <w:rsid w:val="00447B18"/>
    <w:rsid w:val="00450695"/>
    <w:rsid w:val="004510A2"/>
    <w:rsid w:val="00452F96"/>
    <w:rsid w:val="004536F4"/>
    <w:rsid w:val="00453C68"/>
    <w:rsid w:val="00453ED9"/>
    <w:rsid w:val="004542E6"/>
    <w:rsid w:val="00454381"/>
    <w:rsid w:val="004546DC"/>
    <w:rsid w:val="00457C53"/>
    <w:rsid w:val="00460730"/>
    <w:rsid w:val="00460F34"/>
    <w:rsid w:val="00461E8C"/>
    <w:rsid w:val="004623E4"/>
    <w:rsid w:val="004653F3"/>
    <w:rsid w:val="00465508"/>
    <w:rsid w:val="00465711"/>
    <w:rsid w:val="004673A1"/>
    <w:rsid w:val="00467CE1"/>
    <w:rsid w:val="00467EA3"/>
    <w:rsid w:val="00472542"/>
    <w:rsid w:val="00473284"/>
    <w:rsid w:val="00473DA2"/>
    <w:rsid w:val="004748A9"/>
    <w:rsid w:val="00474A95"/>
    <w:rsid w:val="0047591C"/>
    <w:rsid w:val="0048089C"/>
    <w:rsid w:val="0048102D"/>
    <w:rsid w:val="00481418"/>
    <w:rsid w:val="00481A0B"/>
    <w:rsid w:val="00482D04"/>
    <w:rsid w:val="0048406B"/>
    <w:rsid w:val="0048425B"/>
    <w:rsid w:val="0048461E"/>
    <w:rsid w:val="00484630"/>
    <w:rsid w:val="0048546A"/>
    <w:rsid w:val="00485632"/>
    <w:rsid w:val="00487312"/>
    <w:rsid w:val="00487570"/>
    <w:rsid w:val="0048785A"/>
    <w:rsid w:val="004914E3"/>
    <w:rsid w:val="004914F2"/>
    <w:rsid w:val="0049169F"/>
    <w:rsid w:val="00491A67"/>
    <w:rsid w:val="00491AD5"/>
    <w:rsid w:val="004939A5"/>
    <w:rsid w:val="00496162"/>
    <w:rsid w:val="00496890"/>
    <w:rsid w:val="00496952"/>
    <w:rsid w:val="004973A5"/>
    <w:rsid w:val="004A03AC"/>
    <w:rsid w:val="004A1D09"/>
    <w:rsid w:val="004A220F"/>
    <w:rsid w:val="004A2225"/>
    <w:rsid w:val="004A3734"/>
    <w:rsid w:val="004A41EB"/>
    <w:rsid w:val="004A4397"/>
    <w:rsid w:val="004A5976"/>
    <w:rsid w:val="004A5C82"/>
    <w:rsid w:val="004A694B"/>
    <w:rsid w:val="004A7B50"/>
    <w:rsid w:val="004B0441"/>
    <w:rsid w:val="004B132E"/>
    <w:rsid w:val="004B21DE"/>
    <w:rsid w:val="004B2A51"/>
    <w:rsid w:val="004B2AC0"/>
    <w:rsid w:val="004B4D7B"/>
    <w:rsid w:val="004B5FCF"/>
    <w:rsid w:val="004B6836"/>
    <w:rsid w:val="004B6FE0"/>
    <w:rsid w:val="004B7A3E"/>
    <w:rsid w:val="004B7DA1"/>
    <w:rsid w:val="004C0789"/>
    <w:rsid w:val="004C09E0"/>
    <w:rsid w:val="004C0C45"/>
    <w:rsid w:val="004C16B6"/>
    <w:rsid w:val="004C227D"/>
    <w:rsid w:val="004C29BA"/>
    <w:rsid w:val="004C3118"/>
    <w:rsid w:val="004C35D8"/>
    <w:rsid w:val="004C39BA"/>
    <w:rsid w:val="004C3B66"/>
    <w:rsid w:val="004C3E74"/>
    <w:rsid w:val="004C54CD"/>
    <w:rsid w:val="004C5B51"/>
    <w:rsid w:val="004C77D7"/>
    <w:rsid w:val="004C795E"/>
    <w:rsid w:val="004C7E33"/>
    <w:rsid w:val="004D0561"/>
    <w:rsid w:val="004D1608"/>
    <w:rsid w:val="004D267F"/>
    <w:rsid w:val="004D3C78"/>
    <w:rsid w:val="004D4A6E"/>
    <w:rsid w:val="004D5D0E"/>
    <w:rsid w:val="004D69D4"/>
    <w:rsid w:val="004D727E"/>
    <w:rsid w:val="004E0506"/>
    <w:rsid w:val="004E07B2"/>
    <w:rsid w:val="004E0E21"/>
    <w:rsid w:val="004E1B66"/>
    <w:rsid w:val="004E1EAF"/>
    <w:rsid w:val="004E33FF"/>
    <w:rsid w:val="004E3CDF"/>
    <w:rsid w:val="004E470C"/>
    <w:rsid w:val="004E4CB4"/>
    <w:rsid w:val="004E6A86"/>
    <w:rsid w:val="004E6FFA"/>
    <w:rsid w:val="004E715C"/>
    <w:rsid w:val="004F020A"/>
    <w:rsid w:val="004F0CCC"/>
    <w:rsid w:val="004F13D6"/>
    <w:rsid w:val="004F163A"/>
    <w:rsid w:val="004F1899"/>
    <w:rsid w:val="004F1E17"/>
    <w:rsid w:val="004F23CC"/>
    <w:rsid w:val="004F2902"/>
    <w:rsid w:val="004F3066"/>
    <w:rsid w:val="004F370D"/>
    <w:rsid w:val="004F3E0A"/>
    <w:rsid w:val="004F3F96"/>
    <w:rsid w:val="004F4784"/>
    <w:rsid w:val="004F4A4A"/>
    <w:rsid w:val="004F5201"/>
    <w:rsid w:val="004F68C9"/>
    <w:rsid w:val="004F6D73"/>
    <w:rsid w:val="004F77A7"/>
    <w:rsid w:val="004F7BE7"/>
    <w:rsid w:val="004F7D55"/>
    <w:rsid w:val="00500B2E"/>
    <w:rsid w:val="0050231A"/>
    <w:rsid w:val="005023C5"/>
    <w:rsid w:val="005024E1"/>
    <w:rsid w:val="00502673"/>
    <w:rsid w:val="0050331B"/>
    <w:rsid w:val="00503A98"/>
    <w:rsid w:val="00504042"/>
    <w:rsid w:val="00504AF3"/>
    <w:rsid w:val="00505470"/>
    <w:rsid w:val="00506913"/>
    <w:rsid w:val="0050745C"/>
    <w:rsid w:val="00510590"/>
    <w:rsid w:val="00510668"/>
    <w:rsid w:val="00510EFB"/>
    <w:rsid w:val="00513206"/>
    <w:rsid w:val="005142F2"/>
    <w:rsid w:val="00514C8A"/>
    <w:rsid w:val="00515288"/>
    <w:rsid w:val="00515C2A"/>
    <w:rsid w:val="00517D7D"/>
    <w:rsid w:val="005200AA"/>
    <w:rsid w:val="00520EEE"/>
    <w:rsid w:val="00520F61"/>
    <w:rsid w:val="00520F78"/>
    <w:rsid w:val="00521BC8"/>
    <w:rsid w:val="00522C60"/>
    <w:rsid w:val="0052317E"/>
    <w:rsid w:val="005238DE"/>
    <w:rsid w:val="00523CD9"/>
    <w:rsid w:val="00523F97"/>
    <w:rsid w:val="005246E2"/>
    <w:rsid w:val="00524920"/>
    <w:rsid w:val="00525BD6"/>
    <w:rsid w:val="00525EE9"/>
    <w:rsid w:val="00530EB5"/>
    <w:rsid w:val="00531AB6"/>
    <w:rsid w:val="0053244D"/>
    <w:rsid w:val="00532FBE"/>
    <w:rsid w:val="0053330F"/>
    <w:rsid w:val="00534861"/>
    <w:rsid w:val="00534B95"/>
    <w:rsid w:val="00534C75"/>
    <w:rsid w:val="00535225"/>
    <w:rsid w:val="005354C2"/>
    <w:rsid w:val="005361B3"/>
    <w:rsid w:val="00536206"/>
    <w:rsid w:val="00536832"/>
    <w:rsid w:val="00536934"/>
    <w:rsid w:val="0053796A"/>
    <w:rsid w:val="00540FDD"/>
    <w:rsid w:val="00543A04"/>
    <w:rsid w:val="00544B56"/>
    <w:rsid w:val="0054607B"/>
    <w:rsid w:val="0054721E"/>
    <w:rsid w:val="00547E49"/>
    <w:rsid w:val="005508DA"/>
    <w:rsid w:val="005516AF"/>
    <w:rsid w:val="005519D1"/>
    <w:rsid w:val="00551AD9"/>
    <w:rsid w:val="00552E1C"/>
    <w:rsid w:val="00553255"/>
    <w:rsid w:val="0055328C"/>
    <w:rsid w:val="00553DF1"/>
    <w:rsid w:val="00554CD2"/>
    <w:rsid w:val="0055530B"/>
    <w:rsid w:val="005570AF"/>
    <w:rsid w:val="005573A7"/>
    <w:rsid w:val="00557E19"/>
    <w:rsid w:val="005609CE"/>
    <w:rsid w:val="00561D1E"/>
    <w:rsid w:val="005651E0"/>
    <w:rsid w:val="0056544D"/>
    <w:rsid w:val="00566FF3"/>
    <w:rsid w:val="005677A6"/>
    <w:rsid w:val="00571991"/>
    <w:rsid w:val="00571AC4"/>
    <w:rsid w:val="005735D3"/>
    <w:rsid w:val="005738C8"/>
    <w:rsid w:val="00574006"/>
    <w:rsid w:val="005749DD"/>
    <w:rsid w:val="00574D89"/>
    <w:rsid w:val="00574FE4"/>
    <w:rsid w:val="00575668"/>
    <w:rsid w:val="00577260"/>
    <w:rsid w:val="00577ED3"/>
    <w:rsid w:val="00581945"/>
    <w:rsid w:val="00581BB1"/>
    <w:rsid w:val="00582257"/>
    <w:rsid w:val="00582615"/>
    <w:rsid w:val="00582629"/>
    <w:rsid w:val="00582E97"/>
    <w:rsid w:val="005830F4"/>
    <w:rsid w:val="00584184"/>
    <w:rsid w:val="005841FE"/>
    <w:rsid w:val="00585221"/>
    <w:rsid w:val="00586253"/>
    <w:rsid w:val="00586344"/>
    <w:rsid w:val="0058669F"/>
    <w:rsid w:val="00586B5C"/>
    <w:rsid w:val="00587EA9"/>
    <w:rsid w:val="0059199E"/>
    <w:rsid w:val="005920E6"/>
    <w:rsid w:val="005923C6"/>
    <w:rsid w:val="0059319B"/>
    <w:rsid w:val="005933B1"/>
    <w:rsid w:val="00593464"/>
    <w:rsid w:val="0059368E"/>
    <w:rsid w:val="00594657"/>
    <w:rsid w:val="00594A5A"/>
    <w:rsid w:val="00596258"/>
    <w:rsid w:val="00597001"/>
    <w:rsid w:val="0059780E"/>
    <w:rsid w:val="005A07BE"/>
    <w:rsid w:val="005A13C6"/>
    <w:rsid w:val="005A19CC"/>
    <w:rsid w:val="005A1A8F"/>
    <w:rsid w:val="005A1D9F"/>
    <w:rsid w:val="005A2D5A"/>
    <w:rsid w:val="005A3349"/>
    <w:rsid w:val="005A3728"/>
    <w:rsid w:val="005A42EF"/>
    <w:rsid w:val="005A467B"/>
    <w:rsid w:val="005A4E56"/>
    <w:rsid w:val="005A5159"/>
    <w:rsid w:val="005A5367"/>
    <w:rsid w:val="005A536C"/>
    <w:rsid w:val="005A7356"/>
    <w:rsid w:val="005A7CD0"/>
    <w:rsid w:val="005B00A2"/>
    <w:rsid w:val="005B0749"/>
    <w:rsid w:val="005B0C84"/>
    <w:rsid w:val="005B1F91"/>
    <w:rsid w:val="005B2EFC"/>
    <w:rsid w:val="005B36D5"/>
    <w:rsid w:val="005B3C59"/>
    <w:rsid w:val="005B3E32"/>
    <w:rsid w:val="005B5F71"/>
    <w:rsid w:val="005B6DB1"/>
    <w:rsid w:val="005B7371"/>
    <w:rsid w:val="005B7447"/>
    <w:rsid w:val="005C04D3"/>
    <w:rsid w:val="005C1063"/>
    <w:rsid w:val="005C1663"/>
    <w:rsid w:val="005C1AB4"/>
    <w:rsid w:val="005C1C77"/>
    <w:rsid w:val="005C2243"/>
    <w:rsid w:val="005C25B5"/>
    <w:rsid w:val="005C2AA8"/>
    <w:rsid w:val="005C2AE9"/>
    <w:rsid w:val="005C66CC"/>
    <w:rsid w:val="005C6C9C"/>
    <w:rsid w:val="005C7D62"/>
    <w:rsid w:val="005D0351"/>
    <w:rsid w:val="005D1630"/>
    <w:rsid w:val="005D2D05"/>
    <w:rsid w:val="005D432F"/>
    <w:rsid w:val="005D6C53"/>
    <w:rsid w:val="005D6CA4"/>
    <w:rsid w:val="005D7260"/>
    <w:rsid w:val="005D727C"/>
    <w:rsid w:val="005E0F95"/>
    <w:rsid w:val="005E1001"/>
    <w:rsid w:val="005E1170"/>
    <w:rsid w:val="005E1875"/>
    <w:rsid w:val="005E1F93"/>
    <w:rsid w:val="005E28F6"/>
    <w:rsid w:val="005E37F4"/>
    <w:rsid w:val="005E501E"/>
    <w:rsid w:val="005E5496"/>
    <w:rsid w:val="005E5535"/>
    <w:rsid w:val="005E55FB"/>
    <w:rsid w:val="005E60DA"/>
    <w:rsid w:val="005E62C1"/>
    <w:rsid w:val="005F0041"/>
    <w:rsid w:val="005F1566"/>
    <w:rsid w:val="005F1BAD"/>
    <w:rsid w:val="005F2807"/>
    <w:rsid w:val="005F4A28"/>
    <w:rsid w:val="005F6BF6"/>
    <w:rsid w:val="005F6C40"/>
    <w:rsid w:val="005F7312"/>
    <w:rsid w:val="005F7397"/>
    <w:rsid w:val="005F79B5"/>
    <w:rsid w:val="005F7A82"/>
    <w:rsid w:val="005F7EFF"/>
    <w:rsid w:val="006004E5"/>
    <w:rsid w:val="0060094D"/>
    <w:rsid w:val="00601856"/>
    <w:rsid w:val="00601A96"/>
    <w:rsid w:val="006024A9"/>
    <w:rsid w:val="00602FE5"/>
    <w:rsid w:val="00604615"/>
    <w:rsid w:val="006047F1"/>
    <w:rsid w:val="00605142"/>
    <w:rsid w:val="006064AC"/>
    <w:rsid w:val="0060699A"/>
    <w:rsid w:val="00606ED3"/>
    <w:rsid w:val="0060784F"/>
    <w:rsid w:val="006105D4"/>
    <w:rsid w:val="0061084B"/>
    <w:rsid w:val="006113A4"/>
    <w:rsid w:val="00611830"/>
    <w:rsid w:val="00611AA1"/>
    <w:rsid w:val="00612F28"/>
    <w:rsid w:val="006130A9"/>
    <w:rsid w:val="00613A05"/>
    <w:rsid w:val="00614204"/>
    <w:rsid w:val="00614A50"/>
    <w:rsid w:val="00615620"/>
    <w:rsid w:val="00616EAC"/>
    <w:rsid w:val="006173A6"/>
    <w:rsid w:val="00621E45"/>
    <w:rsid w:val="00621F25"/>
    <w:rsid w:val="00621F74"/>
    <w:rsid w:val="0062213E"/>
    <w:rsid w:val="006224D1"/>
    <w:rsid w:val="0062402C"/>
    <w:rsid w:val="00624EBB"/>
    <w:rsid w:val="00625E60"/>
    <w:rsid w:val="00625F07"/>
    <w:rsid w:val="00625F62"/>
    <w:rsid w:val="006268ED"/>
    <w:rsid w:val="00626CC9"/>
    <w:rsid w:val="00627192"/>
    <w:rsid w:val="00627447"/>
    <w:rsid w:val="00627C19"/>
    <w:rsid w:val="00631101"/>
    <w:rsid w:val="00631952"/>
    <w:rsid w:val="0063356A"/>
    <w:rsid w:val="00634BFD"/>
    <w:rsid w:val="00634F69"/>
    <w:rsid w:val="006359C1"/>
    <w:rsid w:val="00635DAD"/>
    <w:rsid w:val="00635FDC"/>
    <w:rsid w:val="0063605E"/>
    <w:rsid w:val="00637048"/>
    <w:rsid w:val="006371FF"/>
    <w:rsid w:val="00637213"/>
    <w:rsid w:val="00640717"/>
    <w:rsid w:val="006407A1"/>
    <w:rsid w:val="006407E6"/>
    <w:rsid w:val="00641AED"/>
    <w:rsid w:val="00642729"/>
    <w:rsid w:val="00642E08"/>
    <w:rsid w:val="00643550"/>
    <w:rsid w:val="00643CF8"/>
    <w:rsid w:val="006446C7"/>
    <w:rsid w:val="006448BC"/>
    <w:rsid w:val="006464C4"/>
    <w:rsid w:val="00647B76"/>
    <w:rsid w:val="00647D9B"/>
    <w:rsid w:val="00650057"/>
    <w:rsid w:val="006513EC"/>
    <w:rsid w:val="006541A7"/>
    <w:rsid w:val="006545D1"/>
    <w:rsid w:val="00654750"/>
    <w:rsid w:val="00655EAF"/>
    <w:rsid w:val="00656242"/>
    <w:rsid w:val="00656A1D"/>
    <w:rsid w:val="00657211"/>
    <w:rsid w:val="006608E1"/>
    <w:rsid w:val="006615BB"/>
    <w:rsid w:val="00661740"/>
    <w:rsid w:val="006618A4"/>
    <w:rsid w:val="00661D72"/>
    <w:rsid w:val="00662C2F"/>
    <w:rsid w:val="006645DC"/>
    <w:rsid w:val="006649EB"/>
    <w:rsid w:val="00665818"/>
    <w:rsid w:val="00666B65"/>
    <w:rsid w:val="00666F4B"/>
    <w:rsid w:val="0066779F"/>
    <w:rsid w:val="006678BB"/>
    <w:rsid w:val="00667DB0"/>
    <w:rsid w:val="006704C4"/>
    <w:rsid w:val="006712DB"/>
    <w:rsid w:val="00672209"/>
    <w:rsid w:val="00672B8B"/>
    <w:rsid w:val="00672C1D"/>
    <w:rsid w:val="00672D04"/>
    <w:rsid w:val="00673917"/>
    <w:rsid w:val="00673EC3"/>
    <w:rsid w:val="0067434A"/>
    <w:rsid w:val="006745B3"/>
    <w:rsid w:val="0067497B"/>
    <w:rsid w:val="00674C27"/>
    <w:rsid w:val="00674CA7"/>
    <w:rsid w:val="006758DF"/>
    <w:rsid w:val="006762B4"/>
    <w:rsid w:val="00676F1D"/>
    <w:rsid w:val="0067707E"/>
    <w:rsid w:val="00677A07"/>
    <w:rsid w:val="00677FB2"/>
    <w:rsid w:val="00680CA1"/>
    <w:rsid w:val="00682486"/>
    <w:rsid w:val="00682747"/>
    <w:rsid w:val="00684F1B"/>
    <w:rsid w:val="0068725A"/>
    <w:rsid w:val="00687E20"/>
    <w:rsid w:val="00690A26"/>
    <w:rsid w:val="00690F47"/>
    <w:rsid w:val="00691F2F"/>
    <w:rsid w:val="006922E9"/>
    <w:rsid w:val="0069284B"/>
    <w:rsid w:val="006930F8"/>
    <w:rsid w:val="00693BF0"/>
    <w:rsid w:val="00693CD7"/>
    <w:rsid w:val="00693D3A"/>
    <w:rsid w:val="00694C87"/>
    <w:rsid w:val="006957FA"/>
    <w:rsid w:val="006959C6"/>
    <w:rsid w:val="006960CC"/>
    <w:rsid w:val="00696E32"/>
    <w:rsid w:val="006A0742"/>
    <w:rsid w:val="006A0968"/>
    <w:rsid w:val="006A115A"/>
    <w:rsid w:val="006A1C4E"/>
    <w:rsid w:val="006A22BB"/>
    <w:rsid w:val="006A23AB"/>
    <w:rsid w:val="006A2A27"/>
    <w:rsid w:val="006A2D63"/>
    <w:rsid w:val="006A3ED5"/>
    <w:rsid w:val="006A4192"/>
    <w:rsid w:val="006A585F"/>
    <w:rsid w:val="006A5EA3"/>
    <w:rsid w:val="006A67E5"/>
    <w:rsid w:val="006A6825"/>
    <w:rsid w:val="006B2E9C"/>
    <w:rsid w:val="006B3C66"/>
    <w:rsid w:val="006B4508"/>
    <w:rsid w:val="006B4F2F"/>
    <w:rsid w:val="006B5A93"/>
    <w:rsid w:val="006B64F1"/>
    <w:rsid w:val="006B749E"/>
    <w:rsid w:val="006B76C5"/>
    <w:rsid w:val="006B7AB9"/>
    <w:rsid w:val="006C245A"/>
    <w:rsid w:val="006C3839"/>
    <w:rsid w:val="006C6483"/>
    <w:rsid w:val="006C651B"/>
    <w:rsid w:val="006C6BDB"/>
    <w:rsid w:val="006C6E48"/>
    <w:rsid w:val="006C72C9"/>
    <w:rsid w:val="006C7809"/>
    <w:rsid w:val="006D0BB5"/>
    <w:rsid w:val="006D0C75"/>
    <w:rsid w:val="006D269A"/>
    <w:rsid w:val="006D2902"/>
    <w:rsid w:val="006D2B23"/>
    <w:rsid w:val="006D3BC6"/>
    <w:rsid w:val="006D3E13"/>
    <w:rsid w:val="006D441A"/>
    <w:rsid w:val="006D45C4"/>
    <w:rsid w:val="006D5C91"/>
    <w:rsid w:val="006D5F7F"/>
    <w:rsid w:val="006D6C43"/>
    <w:rsid w:val="006D6D67"/>
    <w:rsid w:val="006D73B5"/>
    <w:rsid w:val="006D7985"/>
    <w:rsid w:val="006E05B4"/>
    <w:rsid w:val="006E0C9E"/>
    <w:rsid w:val="006E15B4"/>
    <w:rsid w:val="006E2D64"/>
    <w:rsid w:val="006E326E"/>
    <w:rsid w:val="006E32F3"/>
    <w:rsid w:val="006E344F"/>
    <w:rsid w:val="006E3961"/>
    <w:rsid w:val="006E59A3"/>
    <w:rsid w:val="006E6728"/>
    <w:rsid w:val="006E6A10"/>
    <w:rsid w:val="006E6F14"/>
    <w:rsid w:val="006E7811"/>
    <w:rsid w:val="006E7D4D"/>
    <w:rsid w:val="006F012B"/>
    <w:rsid w:val="006F1390"/>
    <w:rsid w:val="006F14A1"/>
    <w:rsid w:val="006F15D9"/>
    <w:rsid w:val="006F19DA"/>
    <w:rsid w:val="006F275C"/>
    <w:rsid w:val="006F3242"/>
    <w:rsid w:val="006F3D79"/>
    <w:rsid w:val="006F5601"/>
    <w:rsid w:val="006F67D8"/>
    <w:rsid w:val="006F7E8D"/>
    <w:rsid w:val="006F7E9A"/>
    <w:rsid w:val="00701C24"/>
    <w:rsid w:val="0070338E"/>
    <w:rsid w:val="00703670"/>
    <w:rsid w:val="00703C5F"/>
    <w:rsid w:val="007043B7"/>
    <w:rsid w:val="00704A7A"/>
    <w:rsid w:val="007056BD"/>
    <w:rsid w:val="007057E1"/>
    <w:rsid w:val="0070604C"/>
    <w:rsid w:val="0070676C"/>
    <w:rsid w:val="00707384"/>
    <w:rsid w:val="007113A4"/>
    <w:rsid w:val="007114C3"/>
    <w:rsid w:val="007115BE"/>
    <w:rsid w:val="0071432A"/>
    <w:rsid w:val="00714C8B"/>
    <w:rsid w:val="007157DE"/>
    <w:rsid w:val="00716FDD"/>
    <w:rsid w:val="007171A1"/>
    <w:rsid w:val="007173A6"/>
    <w:rsid w:val="00717658"/>
    <w:rsid w:val="00717A84"/>
    <w:rsid w:val="0072046F"/>
    <w:rsid w:val="00720899"/>
    <w:rsid w:val="00720D2E"/>
    <w:rsid w:val="007212CA"/>
    <w:rsid w:val="00722541"/>
    <w:rsid w:val="00722564"/>
    <w:rsid w:val="007225C4"/>
    <w:rsid w:val="00722602"/>
    <w:rsid w:val="00722861"/>
    <w:rsid w:val="00722E57"/>
    <w:rsid w:val="00723552"/>
    <w:rsid w:val="00724DB5"/>
    <w:rsid w:val="00726BF5"/>
    <w:rsid w:val="00726F91"/>
    <w:rsid w:val="00727879"/>
    <w:rsid w:val="0073017D"/>
    <w:rsid w:val="00731E6E"/>
    <w:rsid w:val="00732711"/>
    <w:rsid w:val="00733101"/>
    <w:rsid w:val="007331E9"/>
    <w:rsid w:val="007332F5"/>
    <w:rsid w:val="00734065"/>
    <w:rsid w:val="00735352"/>
    <w:rsid w:val="00736645"/>
    <w:rsid w:val="0073796A"/>
    <w:rsid w:val="00737B93"/>
    <w:rsid w:val="00740693"/>
    <w:rsid w:val="00742A30"/>
    <w:rsid w:val="00742B1A"/>
    <w:rsid w:val="007430D7"/>
    <w:rsid w:val="00743E4E"/>
    <w:rsid w:val="007445B3"/>
    <w:rsid w:val="007446B0"/>
    <w:rsid w:val="007449F8"/>
    <w:rsid w:val="00745A58"/>
    <w:rsid w:val="00745E99"/>
    <w:rsid w:val="00747527"/>
    <w:rsid w:val="007475AB"/>
    <w:rsid w:val="00747A9B"/>
    <w:rsid w:val="00750127"/>
    <w:rsid w:val="00751580"/>
    <w:rsid w:val="0075232D"/>
    <w:rsid w:val="0075258C"/>
    <w:rsid w:val="00752C57"/>
    <w:rsid w:val="007533CA"/>
    <w:rsid w:val="007538DE"/>
    <w:rsid w:val="00754720"/>
    <w:rsid w:val="00754D74"/>
    <w:rsid w:val="00755397"/>
    <w:rsid w:val="00755C0D"/>
    <w:rsid w:val="0075679F"/>
    <w:rsid w:val="00757E44"/>
    <w:rsid w:val="00760D28"/>
    <w:rsid w:val="00760F7A"/>
    <w:rsid w:val="00761902"/>
    <w:rsid w:val="00761E04"/>
    <w:rsid w:val="007636FF"/>
    <w:rsid w:val="007638A6"/>
    <w:rsid w:val="00763ABB"/>
    <w:rsid w:val="00763CE0"/>
    <w:rsid w:val="00765342"/>
    <w:rsid w:val="00765B03"/>
    <w:rsid w:val="00765B65"/>
    <w:rsid w:val="007666A2"/>
    <w:rsid w:val="007668EE"/>
    <w:rsid w:val="0076792F"/>
    <w:rsid w:val="00770FA0"/>
    <w:rsid w:val="007711AA"/>
    <w:rsid w:val="00772D01"/>
    <w:rsid w:val="00773C85"/>
    <w:rsid w:val="0077548F"/>
    <w:rsid w:val="00775856"/>
    <w:rsid w:val="00780856"/>
    <w:rsid w:val="00781393"/>
    <w:rsid w:val="0078155E"/>
    <w:rsid w:val="00783824"/>
    <w:rsid w:val="00783E63"/>
    <w:rsid w:val="00783EA1"/>
    <w:rsid w:val="007853C9"/>
    <w:rsid w:val="00785CED"/>
    <w:rsid w:val="00786033"/>
    <w:rsid w:val="00786036"/>
    <w:rsid w:val="00786D0A"/>
    <w:rsid w:val="00786D5B"/>
    <w:rsid w:val="00787EE1"/>
    <w:rsid w:val="00790BDB"/>
    <w:rsid w:val="00790C6E"/>
    <w:rsid w:val="007912EB"/>
    <w:rsid w:val="00791ACE"/>
    <w:rsid w:val="00793ABC"/>
    <w:rsid w:val="00795241"/>
    <w:rsid w:val="00795A13"/>
    <w:rsid w:val="00796471"/>
    <w:rsid w:val="00796C39"/>
    <w:rsid w:val="007972DD"/>
    <w:rsid w:val="007978B3"/>
    <w:rsid w:val="007A053B"/>
    <w:rsid w:val="007A07A7"/>
    <w:rsid w:val="007A07B6"/>
    <w:rsid w:val="007A0C51"/>
    <w:rsid w:val="007A0EA9"/>
    <w:rsid w:val="007A2121"/>
    <w:rsid w:val="007A39FE"/>
    <w:rsid w:val="007A3A89"/>
    <w:rsid w:val="007A40A7"/>
    <w:rsid w:val="007A4501"/>
    <w:rsid w:val="007A4C49"/>
    <w:rsid w:val="007A4D7E"/>
    <w:rsid w:val="007A5EF2"/>
    <w:rsid w:val="007A61A7"/>
    <w:rsid w:val="007A6EDE"/>
    <w:rsid w:val="007A6FDB"/>
    <w:rsid w:val="007B06ED"/>
    <w:rsid w:val="007B167E"/>
    <w:rsid w:val="007B230A"/>
    <w:rsid w:val="007B2D85"/>
    <w:rsid w:val="007B45B6"/>
    <w:rsid w:val="007B500E"/>
    <w:rsid w:val="007B5A42"/>
    <w:rsid w:val="007B60BB"/>
    <w:rsid w:val="007B7764"/>
    <w:rsid w:val="007B7858"/>
    <w:rsid w:val="007B792E"/>
    <w:rsid w:val="007B7E27"/>
    <w:rsid w:val="007C04F4"/>
    <w:rsid w:val="007C0631"/>
    <w:rsid w:val="007C0796"/>
    <w:rsid w:val="007C1457"/>
    <w:rsid w:val="007C19A8"/>
    <w:rsid w:val="007C1C28"/>
    <w:rsid w:val="007C1E01"/>
    <w:rsid w:val="007C2509"/>
    <w:rsid w:val="007C31D5"/>
    <w:rsid w:val="007C3260"/>
    <w:rsid w:val="007C36BD"/>
    <w:rsid w:val="007C4EEE"/>
    <w:rsid w:val="007C5134"/>
    <w:rsid w:val="007C5658"/>
    <w:rsid w:val="007C56D4"/>
    <w:rsid w:val="007C7AC4"/>
    <w:rsid w:val="007D090C"/>
    <w:rsid w:val="007D1CDE"/>
    <w:rsid w:val="007D3E20"/>
    <w:rsid w:val="007D4765"/>
    <w:rsid w:val="007D4A7E"/>
    <w:rsid w:val="007D692D"/>
    <w:rsid w:val="007D6DAE"/>
    <w:rsid w:val="007D72D5"/>
    <w:rsid w:val="007D7C09"/>
    <w:rsid w:val="007D7C64"/>
    <w:rsid w:val="007E0771"/>
    <w:rsid w:val="007E1072"/>
    <w:rsid w:val="007E12A6"/>
    <w:rsid w:val="007E15D3"/>
    <w:rsid w:val="007E33E4"/>
    <w:rsid w:val="007E42BC"/>
    <w:rsid w:val="007E4816"/>
    <w:rsid w:val="007E49D2"/>
    <w:rsid w:val="007E5577"/>
    <w:rsid w:val="007E5E76"/>
    <w:rsid w:val="007E703C"/>
    <w:rsid w:val="007E71B0"/>
    <w:rsid w:val="007E7542"/>
    <w:rsid w:val="007E7835"/>
    <w:rsid w:val="007E7F37"/>
    <w:rsid w:val="007F0180"/>
    <w:rsid w:val="007F0505"/>
    <w:rsid w:val="007F1DF4"/>
    <w:rsid w:val="007F250F"/>
    <w:rsid w:val="007F29CE"/>
    <w:rsid w:val="007F2D37"/>
    <w:rsid w:val="007F3CCE"/>
    <w:rsid w:val="007F4859"/>
    <w:rsid w:val="007F4A03"/>
    <w:rsid w:val="007F4A13"/>
    <w:rsid w:val="007F4E4A"/>
    <w:rsid w:val="007F5590"/>
    <w:rsid w:val="007F55BA"/>
    <w:rsid w:val="007F7633"/>
    <w:rsid w:val="007F7B69"/>
    <w:rsid w:val="007F7C5E"/>
    <w:rsid w:val="00800212"/>
    <w:rsid w:val="00802084"/>
    <w:rsid w:val="00802487"/>
    <w:rsid w:val="00803B18"/>
    <w:rsid w:val="0080637F"/>
    <w:rsid w:val="00806452"/>
    <w:rsid w:val="008068BB"/>
    <w:rsid w:val="00811ABC"/>
    <w:rsid w:val="008122A1"/>
    <w:rsid w:val="0081242A"/>
    <w:rsid w:val="00812789"/>
    <w:rsid w:val="00813EE6"/>
    <w:rsid w:val="008146F9"/>
    <w:rsid w:val="0081571F"/>
    <w:rsid w:val="00816596"/>
    <w:rsid w:val="00817189"/>
    <w:rsid w:val="00817A43"/>
    <w:rsid w:val="00820485"/>
    <w:rsid w:val="008213E1"/>
    <w:rsid w:val="0082148A"/>
    <w:rsid w:val="00822500"/>
    <w:rsid w:val="008245A6"/>
    <w:rsid w:val="00824A27"/>
    <w:rsid w:val="008256E1"/>
    <w:rsid w:val="00826A0D"/>
    <w:rsid w:val="0082749E"/>
    <w:rsid w:val="0083038D"/>
    <w:rsid w:val="008306E7"/>
    <w:rsid w:val="00830831"/>
    <w:rsid w:val="00830FCD"/>
    <w:rsid w:val="00831486"/>
    <w:rsid w:val="008336A1"/>
    <w:rsid w:val="00833E11"/>
    <w:rsid w:val="008357F8"/>
    <w:rsid w:val="00837848"/>
    <w:rsid w:val="008402EA"/>
    <w:rsid w:val="008407A2"/>
    <w:rsid w:val="00841704"/>
    <w:rsid w:val="008423C7"/>
    <w:rsid w:val="008427E1"/>
    <w:rsid w:val="00843C1D"/>
    <w:rsid w:val="00844046"/>
    <w:rsid w:val="0084607A"/>
    <w:rsid w:val="008460A9"/>
    <w:rsid w:val="0084627B"/>
    <w:rsid w:val="00846BF8"/>
    <w:rsid w:val="0084761C"/>
    <w:rsid w:val="00851457"/>
    <w:rsid w:val="00851995"/>
    <w:rsid w:val="00852666"/>
    <w:rsid w:val="00852855"/>
    <w:rsid w:val="00852B83"/>
    <w:rsid w:val="00853249"/>
    <w:rsid w:val="00853556"/>
    <w:rsid w:val="00853906"/>
    <w:rsid w:val="00853E8B"/>
    <w:rsid w:val="008542A2"/>
    <w:rsid w:val="00854490"/>
    <w:rsid w:val="008547B2"/>
    <w:rsid w:val="00855049"/>
    <w:rsid w:val="008554D2"/>
    <w:rsid w:val="00856206"/>
    <w:rsid w:val="00856C07"/>
    <w:rsid w:val="00857157"/>
    <w:rsid w:val="0085717F"/>
    <w:rsid w:val="00857C93"/>
    <w:rsid w:val="00860EED"/>
    <w:rsid w:val="00861900"/>
    <w:rsid w:val="008625EC"/>
    <w:rsid w:val="00863016"/>
    <w:rsid w:val="00864120"/>
    <w:rsid w:val="008642BC"/>
    <w:rsid w:val="0086622C"/>
    <w:rsid w:val="00866A1F"/>
    <w:rsid w:val="00866BFA"/>
    <w:rsid w:val="00866F1B"/>
    <w:rsid w:val="0086757F"/>
    <w:rsid w:val="00871054"/>
    <w:rsid w:val="00872A24"/>
    <w:rsid w:val="00872D44"/>
    <w:rsid w:val="0087480E"/>
    <w:rsid w:val="00877965"/>
    <w:rsid w:val="0088062E"/>
    <w:rsid w:val="00880F55"/>
    <w:rsid w:val="0088128D"/>
    <w:rsid w:val="00883305"/>
    <w:rsid w:val="0088400F"/>
    <w:rsid w:val="0088450A"/>
    <w:rsid w:val="00884646"/>
    <w:rsid w:val="00884A88"/>
    <w:rsid w:val="00884E83"/>
    <w:rsid w:val="008860E0"/>
    <w:rsid w:val="008865B8"/>
    <w:rsid w:val="00886B6D"/>
    <w:rsid w:val="00887A08"/>
    <w:rsid w:val="00887E9E"/>
    <w:rsid w:val="00890FF8"/>
    <w:rsid w:val="008916F4"/>
    <w:rsid w:val="00892262"/>
    <w:rsid w:val="008925BA"/>
    <w:rsid w:val="008926B3"/>
    <w:rsid w:val="008931AA"/>
    <w:rsid w:val="00893C78"/>
    <w:rsid w:val="0089444B"/>
    <w:rsid w:val="00894A40"/>
    <w:rsid w:val="00894EB7"/>
    <w:rsid w:val="0089574B"/>
    <w:rsid w:val="008960A2"/>
    <w:rsid w:val="0089617C"/>
    <w:rsid w:val="00897211"/>
    <w:rsid w:val="008978F3"/>
    <w:rsid w:val="008A0A3E"/>
    <w:rsid w:val="008A1327"/>
    <w:rsid w:val="008A1B7A"/>
    <w:rsid w:val="008A1EAC"/>
    <w:rsid w:val="008A21CB"/>
    <w:rsid w:val="008A2F16"/>
    <w:rsid w:val="008A3270"/>
    <w:rsid w:val="008A3C25"/>
    <w:rsid w:val="008A4295"/>
    <w:rsid w:val="008A58A3"/>
    <w:rsid w:val="008A59E3"/>
    <w:rsid w:val="008A6FCA"/>
    <w:rsid w:val="008A7E4B"/>
    <w:rsid w:val="008B1212"/>
    <w:rsid w:val="008B426F"/>
    <w:rsid w:val="008B5373"/>
    <w:rsid w:val="008B74D2"/>
    <w:rsid w:val="008C0357"/>
    <w:rsid w:val="008C05AA"/>
    <w:rsid w:val="008C1115"/>
    <w:rsid w:val="008C17E8"/>
    <w:rsid w:val="008C34F5"/>
    <w:rsid w:val="008C35A1"/>
    <w:rsid w:val="008C3BE3"/>
    <w:rsid w:val="008C4426"/>
    <w:rsid w:val="008C4677"/>
    <w:rsid w:val="008C4E22"/>
    <w:rsid w:val="008C5599"/>
    <w:rsid w:val="008C7466"/>
    <w:rsid w:val="008C7C0A"/>
    <w:rsid w:val="008D11D4"/>
    <w:rsid w:val="008D1404"/>
    <w:rsid w:val="008D285E"/>
    <w:rsid w:val="008D29E2"/>
    <w:rsid w:val="008D2AB7"/>
    <w:rsid w:val="008D5891"/>
    <w:rsid w:val="008D6DBA"/>
    <w:rsid w:val="008D7248"/>
    <w:rsid w:val="008E04B0"/>
    <w:rsid w:val="008E0DD4"/>
    <w:rsid w:val="008E11C7"/>
    <w:rsid w:val="008E3239"/>
    <w:rsid w:val="008E323F"/>
    <w:rsid w:val="008E3CDF"/>
    <w:rsid w:val="008E4399"/>
    <w:rsid w:val="008E44B2"/>
    <w:rsid w:val="008E4D76"/>
    <w:rsid w:val="008E5606"/>
    <w:rsid w:val="008E5F0B"/>
    <w:rsid w:val="008E621D"/>
    <w:rsid w:val="008E6425"/>
    <w:rsid w:val="008E64FE"/>
    <w:rsid w:val="008E6587"/>
    <w:rsid w:val="008E6991"/>
    <w:rsid w:val="008E715F"/>
    <w:rsid w:val="008E749F"/>
    <w:rsid w:val="008E79D9"/>
    <w:rsid w:val="008E7A3B"/>
    <w:rsid w:val="008F16BA"/>
    <w:rsid w:val="008F2E8F"/>
    <w:rsid w:val="008F30FA"/>
    <w:rsid w:val="008F39F9"/>
    <w:rsid w:val="008F4AC0"/>
    <w:rsid w:val="008F4D1D"/>
    <w:rsid w:val="008F5DB1"/>
    <w:rsid w:val="008F640F"/>
    <w:rsid w:val="008F6566"/>
    <w:rsid w:val="008F688F"/>
    <w:rsid w:val="008F7D43"/>
    <w:rsid w:val="008F7D7B"/>
    <w:rsid w:val="00901DEF"/>
    <w:rsid w:val="0090371C"/>
    <w:rsid w:val="009055CF"/>
    <w:rsid w:val="009055DE"/>
    <w:rsid w:val="00905EE4"/>
    <w:rsid w:val="00905FCE"/>
    <w:rsid w:val="00906F10"/>
    <w:rsid w:val="00906FFF"/>
    <w:rsid w:val="00907292"/>
    <w:rsid w:val="0091224F"/>
    <w:rsid w:val="00913DC8"/>
    <w:rsid w:val="009158ED"/>
    <w:rsid w:val="00915C8F"/>
    <w:rsid w:val="009164A2"/>
    <w:rsid w:val="00916E8F"/>
    <w:rsid w:val="00917D51"/>
    <w:rsid w:val="00917F6F"/>
    <w:rsid w:val="0092223B"/>
    <w:rsid w:val="009242B2"/>
    <w:rsid w:val="00924BF0"/>
    <w:rsid w:val="00926646"/>
    <w:rsid w:val="00926EAC"/>
    <w:rsid w:val="00927B18"/>
    <w:rsid w:val="00930170"/>
    <w:rsid w:val="00931108"/>
    <w:rsid w:val="00931471"/>
    <w:rsid w:val="00932014"/>
    <w:rsid w:val="009327F2"/>
    <w:rsid w:val="00933193"/>
    <w:rsid w:val="00933A20"/>
    <w:rsid w:val="0093504F"/>
    <w:rsid w:val="0093656C"/>
    <w:rsid w:val="00936658"/>
    <w:rsid w:val="00937A50"/>
    <w:rsid w:val="00940F69"/>
    <w:rsid w:val="00941CCB"/>
    <w:rsid w:val="009423EE"/>
    <w:rsid w:val="0094307B"/>
    <w:rsid w:val="009432C6"/>
    <w:rsid w:val="0094379E"/>
    <w:rsid w:val="0094403B"/>
    <w:rsid w:val="00944869"/>
    <w:rsid w:val="00945B66"/>
    <w:rsid w:val="00945FC4"/>
    <w:rsid w:val="00946FB5"/>
    <w:rsid w:val="00947DC0"/>
    <w:rsid w:val="00950509"/>
    <w:rsid w:val="0095084D"/>
    <w:rsid w:val="00950898"/>
    <w:rsid w:val="00950B61"/>
    <w:rsid w:val="00950D52"/>
    <w:rsid w:val="00951D42"/>
    <w:rsid w:val="009522B3"/>
    <w:rsid w:val="00952C95"/>
    <w:rsid w:val="0095312E"/>
    <w:rsid w:val="00953BBF"/>
    <w:rsid w:val="00953F5F"/>
    <w:rsid w:val="0095463B"/>
    <w:rsid w:val="00954653"/>
    <w:rsid w:val="00954CDE"/>
    <w:rsid w:val="00954D7A"/>
    <w:rsid w:val="00954D9E"/>
    <w:rsid w:val="00955632"/>
    <w:rsid w:val="00955A93"/>
    <w:rsid w:val="00955C27"/>
    <w:rsid w:val="0095675B"/>
    <w:rsid w:val="00957C06"/>
    <w:rsid w:val="00957F7C"/>
    <w:rsid w:val="009615E5"/>
    <w:rsid w:val="00961C02"/>
    <w:rsid w:val="00962936"/>
    <w:rsid w:val="00962AE2"/>
    <w:rsid w:val="00963207"/>
    <w:rsid w:val="00963502"/>
    <w:rsid w:val="009664FC"/>
    <w:rsid w:val="00967040"/>
    <w:rsid w:val="009678A9"/>
    <w:rsid w:val="00967EE9"/>
    <w:rsid w:val="009707C9"/>
    <w:rsid w:val="0097158C"/>
    <w:rsid w:val="00972683"/>
    <w:rsid w:val="00973FD8"/>
    <w:rsid w:val="00974515"/>
    <w:rsid w:val="00974816"/>
    <w:rsid w:val="009765D1"/>
    <w:rsid w:val="009765F7"/>
    <w:rsid w:val="009779A8"/>
    <w:rsid w:val="009803DC"/>
    <w:rsid w:val="0098168E"/>
    <w:rsid w:val="00982DA4"/>
    <w:rsid w:val="009835CD"/>
    <w:rsid w:val="00983805"/>
    <w:rsid w:val="00983D94"/>
    <w:rsid w:val="00984223"/>
    <w:rsid w:val="00984654"/>
    <w:rsid w:val="00984EF5"/>
    <w:rsid w:val="00985928"/>
    <w:rsid w:val="00985EF4"/>
    <w:rsid w:val="00987121"/>
    <w:rsid w:val="00987969"/>
    <w:rsid w:val="00991D39"/>
    <w:rsid w:val="00993CED"/>
    <w:rsid w:val="009945EF"/>
    <w:rsid w:val="00995864"/>
    <w:rsid w:val="00995F98"/>
    <w:rsid w:val="00996E85"/>
    <w:rsid w:val="0099776B"/>
    <w:rsid w:val="009A0023"/>
    <w:rsid w:val="009A057D"/>
    <w:rsid w:val="009A0921"/>
    <w:rsid w:val="009A0EE9"/>
    <w:rsid w:val="009A1805"/>
    <w:rsid w:val="009A1BF8"/>
    <w:rsid w:val="009A2014"/>
    <w:rsid w:val="009A2061"/>
    <w:rsid w:val="009A2BAB"/>
    <w:rsid w:val="009A38F3"/>
    <w:rsid w:val="009A5941"/>
    <w:rsid w:val="009A5EC6"/>
    <w:rsid w:val="009A7839"/>
    <w:rsid w:val="009B3A55"/>
    <w:rsid w:val="009B4BB0"/>
    <w:rsid w:val="009B583A"/>
    <w:rsid w:val="009B613A"/>
    <w:rsid w:val="009B61E1"/>
    <w:rsid w:val="009B71B5"/>
    <w:rsid w:val="009C329D"/>
    <w:rsid w:val="009C4E01"/>
    <w:rsid w:val="009C51CA"/>
    <w:rsid w:val="009C558E"/>
    <w:rsid w:val="009C56DB"/>
    <w:rsid w:val="009D0E52"/>
    <w:rsid w:val="009D1356"/>
    <w:rsid w:val="009D200F"/>
    <w:rsid w:val="009D2500"/>
    <w:rsid w:val="009D2DCC"/>
    <w:rsid w:val="009D4284"/>
    <w:rsid w:val="009D45F8"/>
    <w:rsid w:val="009D5B9E"/>
    <w:rsid w:val="009D5DCC"/>
    <w:rsid w:val="009D5F06"/>
    <w:rsid w:val="009D6A51"/>
    <w:rsid w:val="009E10B6"/>
    <w:rsid w:val="009E199E"/>
    <w:rsid w:val="009E1A85"/>
    <w:rsid w:val="009E375F"/>
    <w:rsid w:val="009E3A1E"/>
    <w:rsid w:val="009E4961"/>
    <w:rsid w:val="009E59D0"/>
    <w:rsid w:val="009E5A96"/>
    <w:rsid w:val="009E5AA8"/>
    <w:rsid w:val="009E6B19"/>
    <w:rsid w:val="009E6CE8"/>
    <w:rsid w:val="009E6E54"/>
    <w:rsid w:val="009E774B"/>
    <w:rsid w:val="009F01D3"/>
    <w:rsid w:val="009F2F2E"/>
    <w:rsid w:val="009F3612"/>
    <w:rsid w:val="009F4895"/>
    <w:rsid w:val="009F551C"/>
    <w:rsid w:val="009F5DC7"/>
    <w:rsid w:val="009F6B0F"/>
    <w:rsid w:val="009F73AF"/>
    <w:rsid w:val="009F7B60"/>
    <w:rsid w:val="009F7D92"/>
    <w:rsid w:val="00A018ED"/>
    <w:rsid w:val="00A01C19"/>
    <w:rsid w:val="00A01FC8"/>
    <w:rsid w:val="00A02CEB"/>
    <w:rsid w:val="00A04A2D"/>
    <w:rsid w:val="00A052D3"/>
    <w:rsid w:val="00A05599"/>
    <w:rsid w:val="00A0596A"/>
    <w:rsid w:val="00A06053"/>
    <w:rsid w:val="00A11359"/>
    <w:rsid w:val="00A13394"/>
    <w:rsid w:val="00A133A7"/>
    <w:rsid w:val="00A1473F"/>
    <w:rsid w:val="00A14CE2"/>
    <w:rsid w:val="00A14D41"/>
    <w:rsid w:val="00A15FAC"/>
    <w:rsid w:val="00A16053"/>
    <w:rsid w:val="00A17D49"/>
    <w:rsid w:val="00A17D8F"/>
    <w:rsid w:val="00A2175B"/>
    <w:rsid w:val="00A23C73"/>
    <w:rsid w:val="00A23DD1"/>
    <w:rsid w:val="00A23E8B"/>
    <w:rsid w:val="00A24640"/>
    <w:rsid w:val="00A24C8A"/>
    <w:rsid w:val="00A24EED"/>
    <w:rsid w:val="00A251F3"/>
    <w:rsid w:val="00A2520B"/>
    <w:rsid w:val="00A252FC"/>
    <w:rsid w:val="00A253EC"/>
    <w:rsid w:val="00A25B70"/>
    <w:rsid w:val="00A25C9F"/>
    <w:rsid w:val="00A27D7C"/>
    <w:rsid w:val="00A305E8"/>
    <w:rsid w:val="00A309C7"/>
    <w:rsid w:val="00A30F84"/>
    <w:rsid w:val="00A31554"/>
    <w:rsid w:val="00A315AC"/>
    <w:rsid w:val="00A31A24"/>
    <w:rsid w:val="00A31F6C"/>
    <w:rsid w:val="00A32766"/>
    <w:rsid w:val="00A33305"/>
    <w:rsid w:val="00A337E0"/>
    <w:rsid w:val="00A33BDD"/>
    <w:rsid w:val="00A33EC9"/>
    <w:rsid w:val="00A344EC"/>
    <w:rsid w:val="00A3705F"/>
    <w:rsid w:val="00A370A1"/>
    <w:rsid w:val="00A376D0"/>
    <w:rsid w:val="00A4108B"/>
    <w:rsid w:val="00A414C0"/>
    <w:rsid w:val="00A41997"/>
    <w:rsid w:val="00A41A20"/>
    <w:rsid w:val="00A42766"/>
    <w:rsid w:val="00A428E1"/>
    <w:rsid w:val="00A441CA"/>
    <w:rsid w:val="00A4492E"/>
    <w:rsid w:val="00A44B67"/>
    <w:rsid w:val="00A44DE4"/>
    <w:rsid w:val="00A4613D"/>
    <w:rsid w:val="00A464F0"/>
    <w:rsid w:val="00A46C0F"/>
    <w:rsid w:val="00A504BF"/>
    <w:rsid w:val="00A50925"/>
    <w:rsid w:val="00A5116A"/>
    <w:rsid w:val="00A5229F"/>
    <w:rsid w:val="00A52423"/>
    <w:rsid w:val="00A52978"/>
    <w:rsid w:val="00A52F25"/>
    <w:rsid w:val="00A54271"/>
    <w:rsid w:val="00A551DE"/>
    <w:rsid w:val="00A554FA"/>
    <w:rsid w:val="00A557E6"/>
    <w:rsid w:val="00A55E80"/>
    <w:rsid w:val="00A564D4"/>
    <w:rsid w:val="00A571FE"/>
    <w:rsid w:val="00A576F6"/>
    <w:rsid w:val="00A6070F"/>
    <w:rsid w:val="00A6168E"/>
    <w:rsid w:val="00A61CEF"/>
    <w:rsid w:val="00A6252B"/>
    <w:rsid w:val="00A62C86"/>
    <w:rsid w:val="00A63D2A"/>
    <w:rsid w:val="00A65A2C"/>
    <w:rsid w:val="00A6708F"/>
    <w:rsid w:val="00A67898"/>
    <w:rsid w:val="00A7002F"/>
    <w:rsid w:val="00A71BC9"/>
    <w:rsid w:val="00A722C9"/>
    <w:rsid w:val="00A727B8"/>
    <w:rsid w:val="00A72C58"/>
    <w:rsid w:val="00A73214"/>
    <w:rsid w:val="00A7334A"/>
    <w:rsid w:val="00A74144"/>
    <w:rsid w:val="00A74A4A"/>
    <w:rsid w:val="00A751E8"/>
    <w:rsid w:val="00A7567E"/>
    <w:rsid w:val="00A75A40"/>
    <w:rsid w:val="00A76BCC"/>
    <w:rsid w:val="00A76DF6"/>
    <w:rsid w:val="00A77C48"/>
    <w:rsid w:val="00A809B1"/>
    <w:rsid w:val="00A8233D"/>
    <w:rsid w:val="00A830FF"/>
    <w:rsid w:val="00A83D0D"/>
    <w:rsid w:val="00A84B8D"/>
    <w:rsid w:val="00A84D3D"/>
    <w:rsid w:val="00A87ECA"/>
    <w:rsid w:val="00A9086E"/>
    <w:rsid w:val="00A91562"/>
    <w:rsid w:val="00A92627"/>
    <w:rsid w:val="00A94B75"/>
    <w:rsid w:val="00A9595D"/>
    <w:rsid w:val="00A964F6"/>
    <w:rsid w:val="00A9671A"/>
    <w:rsid w:val="00A96D60"/>
    <w:rsid w:val="00A9758E"/>
    <w:rsid w:val="00A97B81"/>
    <w:rsid w:val="00A97F3B"/>
    <w:rsid w:val="00AA05F2"/>
    <w:rsid w:val="00AA15ED"/>
    <w:rsid w:val="00AA1D12"/>
    <w:rsid w:val="00AA1E94"/>
    <w:rsid w:val="00AA242B"/>
    <w:rsid w:val="00AA42DD"/>
    <w:rsid w:val="00AA4652"/>
    <w:rsid w:val="00AA4ED7"/>
    <w:rsid w:val="00AA4FE9"/>
    <w:rsid w:val="00AA5275"/>
    <w:rsid w:val="00AA54D0"/>
    <w:rsid w:val="00AA5E64"/>
    <w:rsid w:val="00AA5F7C"/>
    <w:rsid w:val="00AA6A7E"/>
    <w:rsid w:val="00AA7FFD"/>
    <w:rsid w:val="00AB1E9F"/>
    <w:rsid w:val="00AB209F"/>
    <w:rsid w:val="00AB23AB"/>
    <w:rsid w:val="00AB3728"/>
    <w:rsid w:val="00AB3D11"/>
    <w:rsid w:val="00AB4091"/>
    <w:rsid w:val="00AB4133"/>
    <w:rsid w:val="00AB4C82"/>
    <w:rsid w:val="00AB52A5"/>
    <w:rsid w:val="00AB53B2"/>
    <w:rsid w:val="00AB54C4"/>
    <w:rsid w:val="00AB5BD4"/>
    <w:rsid w:val="00AB66A8"/>
    <w:rsid w:val="00AB6A8D"/>
    <w:rsid w:val="00AB753C"/>
    <w:rsid w:val="00AC135F"/>
    <w:rsid w:val="00AC26A4"/>
    <w:rsid w:val="00AC3FA9"/>
    <w:rsid w:val="00AC5025"/>
    <w:rsid w:val="00AC50F3"/>
    <w:rsid w:val="00AC78BC"/>
    <w:rsid w:val="00AD0040"/>
    <w:rsid w:val="00AD0AA4"/>
    <w:rsid w:val="00AD3A2B"/>
    <w:rsid w:val="00AD54BE"/>
    <w:rsid w:val="00AD5D84"/>
    <w:rsid w:val="00AD6F52"/>
    <w:rsid w:val="00AD7A31"/>
    <w:rsid w:val="00AE008C"/>
    <w:rsid w:val="00AE02EF"/>
    <w:rsid w:val="00AE09DE"/>
    <w:rsid w:val="00AE0C34"/>
    <w:rsid w:val="00AE0FC5"/>
    <w:rsid w:val="00AE18B0"/>
    <w:rsid w:val="00AE2EB5"/>
    <w:rsid w:val="00AE2FFF"/>
    <w:rsid w:val="00AE32AA"/>
    <w:rsid w:val="00AE32B3"/>
    <w:rsid w:val="00AE341D"/>
    <w:rsid w:val="00AE375A"/>
    <w:rsid w:val="00AE4DB6"/>
    <w:rsid w:val="00AE5003"/>
    <w:rsid w:val="00AE7646"/>
    <w:rsid w:val="00AE7929"/>
    <w:rsid w:val="00AF0370"/>
    <w:rsid w:val="00AF14A3"/>
    <w:rsid w:val="00AF373F"/>
    <w:rsid w:val="00AF3D0B"/>
    <w:rsid w:val="00AF4506"/>
    <w:rsid w:val="00AF52A0"/>
    <w:rsid w:val="00AF78E0"/>
    <w:rsid w:val="00B00A8F"/>
    <w:rsid w:val="00B00E54"/>
    <w:rsid w:val="00B01AB8"/>
    <w:rsid w:val="00B03201"/>
    <w:rsid w:val="00B03E3F"/>
    <w:rsid w:val="00B03E68"/>
    <w:rsid w:val="00B04FA5"/>
    <w:rsid w:val="00B10B3C"/>
    <w:rsid w:val="00B10EFC"/>
    <w:rsid w:val="00B1236E"/>
    <w:rsid w:val="00B14234"/>
    <w:rsid w:val="00B1597B"/>
    <w:rsid w:val="00B15BDC"/>
    <w:rsid w:val="00B16912"/>
    <w:rsid w:val="00B17636"/>
    <w:rsid w:val="00B17F47"/>
    <w:rsid w:val="00B201AA"/>
    <w:rsid w:val="00B23F51"/>
    <w:rsid w:val="00B24521"/>
    <w:rsid w:val="00B24FCE"/>
    <w:rsid w:val="00B25CAE"/>
    <w:rsid w:val="00B25DAB"/>
    <w:rsid w:val="00B26760"/>
    <w:rsid w:val="00B269BC"/>
    <w:rsid w:val="00B27A8A"/>
    <w:rsid w:val="00B302FF"/>
    <w:rsid w:val="00B3031D"/>
    <w:rsid w:val="00B315FA"/>
    <w:rsid w:val="00B32086"/>
    <w:rsid w:val="00B32724"/>
    <w:rsid w:val="00B3383C"/>
    <w:rsid w:val="00B34818"/>
    <w:rsid w:val="00B3502B"/>
    <w:rsid w:val="00B353C4"/>
    <w:rsid w:val="00B358CC"/>
    <w:rsid w:val="00B36048"/>
    <w:rsid w:val="00B36881"/>
    <w:rsid w:val="00B37875"/>
    <w:rsid w:val="00B37946"/>
    <w:rsid w:val="00B410E4"/>
    <w:rsid w:val="00B41CB0"/>
    <w:rsid w:val="00B41EAF"/>
    <w:rsid w:val="00B42EAF"/>
    <w:rsid w:val="00B448E5"/>
    <w:rsid w:val="00B45FD5"/>
    <w:rsid w:val="00B46EC8"/>
    <w:rsid w:val="00B46EE8"/>
    <w:rsid w:val="00B47A7E"/>
    <w:rsid w:val="00B505E5"/>
    <w:rsid w:val="00B50963"/>
    <w:rsid w:val="00B5168C"/>
    <w:rsid w:val="00B51B5B"/>
    <w:rsid w:val="00B52D2A"/>
    <w:rsid w:val="00B53B89"/>
    <w:rsid w:val="00B5431B"/>
    <w:rsid w:val="00B54FB5"/>
    <w:rsid w:val="00B55792"/>
    <w:rsid w:val="00B56F3C"/>
    <w:rsid w:val="00B5796D"/>
    <w:rsid w:val="00B614A1"/>
    <w:rsid w:val="00B61BD9"/>
    <w:rsid w:val="00B63048"/>
    <w:rsid w:val="00B63E75"/>
    <w:rsid w:val="00B6505B"/>
    <w:rsid w:val="00B65086"/>
    <w:rsid w:val="00B65599"/>
    <w:rsid w:val="00B66201"/>
    <w:rsid w:val="00B66B02"/>
    <w:rsid w:val="00B66E1D"/>
    <w:rsid w:val="00B67054"/>
    <w:rsid w:val="00B7039B"/>
    <w:rsid w:val="00B704AA"/>
    <w:rsid w:val="00B70A40"/>
    <w:rsid w:val="00B70C33"/>
    <w:rsid w:val="00B70EF4"/>
    <w:rsid w:val="00B7110F"/>
    <w:rsid w:val="00B716CD"/>
    <w:rsid w:val="00B71AF6"/>
    <w:rsid w:val="00B723FE"/>
    <w:rsid w:val="00B7302F"/>
    <w:rsid w:val="00B7474B"/>
    <w:rsid w:val="00B80247"/>
    <w:rsid w:val="00B80732"/>
    <w:rsid w:val="00B80B42"/>
    <w:rsid w:val="00B812B9"/>
    <w:rsid w:val="00B82668"/>
    <w:rsid w:val="00B82C3A"/>
    <w:rsid w:val="00B83CE4"/>
    <w:rsid w:val="00B843E8"/>
    <w:rsid w:val="00B84543"/>
    <w:rsid w:val="00B845E6"/>
    <w:rsid w:val="00B85080"/>
    <w:rsid w:val="00B872D6"/>
    <w:rsid w:val="00B87B14"/>
    <w:rsid w:val="00B90C16"/>
    <w:rsid w:val="00B90F4F"/>
    <w:rsid w:val="00B9195A"/>
    <w:rsid w:val="00B91DC3"/>
    <w:rsid w:val="00B933DE"/>
    <w:rsid w:val="00B93FA5"/>
    <w:rsid w:val="00B948CB"/>
    <w:rsid w:val="00B94A2D"/>
    <w:rsid w:val="00B94B69"/>
    <w:rsid w:val="00B955B4"/>
    <w:rsid w:val="00B97266"/>
    <w:rsid w:val="00BA013B"/>
    <w:rsid w:val="00BA13DC"/>
    <w:rsid w:val="00BA3E1E"/>
    <w:rsid w:val="00BA7750"/>
    <w:rsid w:val="00BB1710"/>
    <w:rsid w:val="00BB1999"/>
    <w:rsid w:val="00BB29DE"/>
    <w:rsid w:val="00BB2D36"/>
    <w:rsid w:val="00BB339E"/>
    <w:rsid w:val="00BB3B2B"/>
    <w:rsid w:val="00BB3FAF"/>
    <w:rsid w:val="00BB506B"/>
    <w:rsid w:val="00BB543E"/>
    <w:rsid w:val="00BB5C68"/>
    <w:rsid w:val="00BB64B6"/>
    <w:rsid w:val="00BB7876"/>
    <w:rsid w:val="00BB7E84"/>
    <w:rsid w:val="00BC0EC4"/>
    <w:rsid w:val="00BC1901"/>
    <w:rsid w:val="00BC29C0"/>
    <w:rsid w:val="00BC377F"/>
    <w:rsid w:val="00BC3DE2"/>
    <w:rsid w:val="00BC5754"/>
    <w:rsid w:val="00BC5AFB"/>
    <w:rsid w:val="00BC6650"/>
    <w:rsid w:val="00BC74C9"/>
    <w:rsid w:val="00BD0EF8"/>
    <w:rsid w:val="00BD22AF"/>
    <w:rsid w:val="00BD2E05"/>
    <w:rsid w:val="00BD44BE"/>
    <w:rsid w:val="00BD7512"/>
    <w:rsid w:val="00BD7DD5"/>
    <w:rsid w:val="00BE0576"/>
    <w:rsid w:val="00BE1044"/>
    <w:rsid w:val="00BE1C49"/>
    <w:rsid w:val="00BE261B"/>
    <w:rsid w:val="00BE316F"/>
    <w:rsid w:val="00BE39E3"/>
    <w:rsid w:val="00BE3AA6"/>
    <w:rsid w:val="00BE3F40"/>
    <w:rsid w:val="00BE4401"/>
    <w:rsid w:val="00BE4CDC"/>
    <w:rsid w:val="00BE4ED1"/>
    <w:rsid w:val="00BE58D7"/>
    <w:rsid w:val="00BE629C"/>
    <w:rsid w:val="00BE6BF8"/>
    <w:rsid w:val="00BE713E"/>
    <w:rsid w:val="00BF047A"/>
    <w:rsid w:val="00BF07AB"/>
    <w:rsid w:val="00BF0C91"/>
    <w:rsid w:val="00BF0D73"/>
    <w:rsid w:val="00BF14A9"/>
    <w:rsid w:val="00BF2976"/>
    <w:rsid w:val="00BF29C5"/>
    <w:rsid w:val="00BF2D4A"/>
    <w:rsid w:val="00BF343C"/>
    <w:rsid w:val="00BF3DC8"/>
    <w:rsid w:val="00BF3E22"/>
    <w:rsid w:val="00BF5935"/>
    <w:rsid w:val="00BF613C"/>
    <w:rsid w:val="00BF6268"/>
    <w:rsid w:val="00BF6303"/>
    <w:rsid w:val="00C001BD"/>
    <w:rsid w:val="00C00563"/>
    <w:rsid w:val="00C00DAF"/>
    <w:rsid w:val="00C02BE7"/>
    <w:rsid w:val="00C02C5D"/>
    <w:rsid w:val="00C030B0"/>
    <w:rsid w:val="00C03235"/>
    <w:rsid w:val="00C036D2"/>
    <w:rsid w:val="00C043C8"/>
    <w:rsid w:val="00C04828"/>
    <w:rsid w:val="00C04909"/>
    <w:rsid w:val="00C056F6"/>
    <w:rsid w:val="00C05E28"/>
    <w:rsid w:val="00C0627E"/>
    <w:rsid w:val="00C06AF6"/>
    <w:rsid w:val="00C06B39"/>
    <w:rsid w:val="00C11684"/>
    <w:rsid w:val="00C12147"/>
    <w:rsid w:val="00C128C4"/>
    <w:rsid w:val="00C1417E"/>
    <w:rsid w:val="00C14689"/>
    <w:rsid w:val="00C14BF8"/>
    <w:rsid w:val="00C154C7"/>
    <w:rsid w:val="00C158D4"/>
    <w:rsid w:val="00C15A72"/>
    <w:rsid w:val="00C15D1E"/>
    <w:rsid w:val="00C169F8"/>
    <w:rsid w:val="00C17C53"/>
    <w:rsid w:val="00C211F6"/>
    <w:rsid w:val="00C21345"/>
    <w:rsid w:val="00C21425"/>
    <w:rsid w:val="00C21BA2"/>
    <w:rsid w:val="00C22666"/>
    <w:rsid w:val="00C2425C"/>
    <w:rsid w:val="00C243FA"/>
    <w:rsid w:val="00C24565"/>
    <w:rsid w:val="00C24DBA"/>
    <w:rsid w:val="00C251C5"/>
    <w:rsid w:val="00C25917"/>
    <w:rsid w:val="00C25CE7"/>
    <w:rsid w:val="00C26CB8"/>
    <w:rsid w:val="00C27F62"/>
    <w:rsid w:val="00C31C2D"/>
    <w:rsid w:val="00C32B9D"/>
    <w:rsid w:val="00C33328"/>
    <w:rsid w:val="00C33F3D"/>
    <w:rsid w:val="00C34045"/>
    <w:rsid w:val="00C34472"/>
    <w:rsid w:val="00C359E3"/>
    <w:rsid w:val="00C3689D"/>
    <w:rsid w:val="00C40564"/>
    <w:rsid w:val="00C417C6"/>
    <w:rsid w:val="00C42B3F"/>
    <w:rsid w:val="00C461E6"/>
    <w:rsid w:val="00C46800"/>
    <w:rsid w:val="00C47D00"/>
    <w:rsid w:val="00C50093"/>
    <w:rsid w:val="00C505E3"/>
    <w:rsid w:val="00C508F2"/>
    <w:rsid w:val="00C50BE5"/>
    <w:rsid w:val="00C5269D"/>
    <w:rsid w:val="00C52765"/>
    <w:rsid w:val="00C52937"/>
    <w:rsid w:val="00C52D8A"/>
    <w:rsid w:val="00C533DB"/>
    <w:rsid w:val="00C5386B"/>
    <w:rsid w:val="00C540A3"/>
    <w:rsid w:val="00C552AF"/>
    <w:rsid w:val="00C55527"/>
    <w:rsid w:val="00C5691B"/>
    <w:rsid w:val="00C569F9"/>
    <w:rsid w:val="00C56CB5"/>
    <w:rsid w:val="00C57318"/>
    <w:rsid w:val="00C5752B"/>
    <w:rsid w:val="00C603DB"/>
    <w:rsid w:val="00C605BA"/>
    <w:rsid w:val="00C60A23"/>
    <w:rsid w:val="00C61BD8"/>
    <w:rsid w:val="00C61E16"/>
    <w:rsid w:val="00C622CF"/>
    <w:rsid w:val="00C635F6"/>
    <w:rsid w:val="00C64824"/>
    <w:rsid w:val="00C653A3"/>
    <w:rsid w:val="00C66037"/>
    <w:rsid w:val="00C66FA1"/>
    <w:rsid w:val="00C67368"/>
    <w:rsid w:val="00C67E46"/>
    <w:rsid w:val="00C70E43"/>
    <w:rsid w:val="00C715F3"/>
    <w:rsid w:val="00C735D5"/>
    <w:rsid w:val="00C73715"/>
    <w:rsid w:val="00C73AFD"/>
    <w:rsid w:val="00C740CE"/>
    <w:rsid w:val="00C745B9"/>
    <w:rsid w:val="00C75E62"/>
    <w:rsid w:val="00C807A8"/>
    <w:rsid w:val="00C80E94"/>
    <w:rsid w:val="00C82143"/>
    <w:rsid w:val="00C824B7"/>
    <w:rsid w:val="00C829AE"/>
    <w:rsid w:val="00C82FA2"/>
    <w:rsid w:val="00C84C53"/>
    <w:rsid w:val="00C86F03"/>
    <w:rsid w:val="00C872D1"/>
    <w:rsid w:val="00C87501"/>
    <w:rsid w:val="00C87732"/>
    <w:rsid w:val="00C87EDD"/>
    <w:rsid w:val="00C900C3"/>
    <w:rsid w:val="00C90480"/>
    <w:rsid w:val="00C91E3A"/>
    <w:rsid w:val="00C92746"/>
    <w:rsid w:val="00C92D77"/>
    <w:rsid w:val="00C9332E"/>
    <w:rsid w:val="00C94915"/>
    <w:rsid w:val="00C952AD"/>
    <w:rsid w:val="00C957B1"/>
    <w:rsid w:val="00C960EF"/>
    <w:rsid w:val="00C967A6"/>
    <w:rsid w:val="00C970F0"/>
    <w:rsid w:val="00C9761F"/>
    <w:rsid w:val="00C977C5"/>
    <w:rsid w:val="00CA001A"/>
    <w:rsid w:val="00CA0D8B"/>
    <w:rsid w:val="00CA15A4"/>
    <w:rsid w:val="00CA1E72"/>
    <w:rsid w:val="00CA24A6"/>
    <w:rsid w:val="00CA26B9"/>
    <w:rsid w:val="00CA5D84"/>
    <w:rsid w:val="00CA5F0D"/>
    <w:rsid w:val="00CA68F6"/>
    <w:rsid w:val="00CA7A36"/>
    <w:rsid w:val="00CB2A12"/>
    <w:rsid w:val="00CB646A"/>
    <w:rsid w:val="00CB6DB7"/>
    <w:rsid w:val="00CB7581"/>
    <w:rsid w:val="00CB7CDC"/>
    <w:rsid w:val="00CC0A3F"/>
    <w:rsid w:val="00CC123E"/>
    <w:rsid w:val="00CC17C2"/>
    <w:rsid w:val="00CC1C2E"/>
    <w:rsid w:val="00CC2B0D"/>
    <w:rsid w:val="00CC2F7B"/>
    <w:rsid w:val="00CC37D7"/>
    <w:rsid w:val="00CC484F"/>
    <w:rsid w:val="00CC538C"/>
    <w:rsid w:val="00CC5589"/>
    <w:rsid w:val="00CC561D"/>
    <w:rsid w:val="00CC5B28"/>
    <w:rsid w:val="00CC6BBA"/>
    <w:rsid w:val="00CC77F0"/>
    <w:rsid w:val="00CD0B55"/>
    <w:rsid w:val="00CD1ACF"/>
    <w:rsid w:val="00CD25AB"/>
    <w:rsid w:val="00CD3A95"/>
    <w:rsid w:val="00CD4856"/>
    <w:rsid w:val="00CD4AC2"/>
    <w:rsid w:val="00CD51E8"/>
    <w:rsid w:val="00CD564A"/>
    <w:rsid w:val="00CD60A1"/>
    <w:rsid w:val="00CD6265"/>
    <w:rsid w:val="00CD67E7"/>
    <w:rsid w:val="00CD7B60"/>
    <w:rsid w:val="00CD7EE5"/>
    <w:rsid w:val="00CE0240"/>
    <w:rsid w:val="00CE0608"/>
    <w:rsid w:val="00CE116F"/>
    <w:rsid w:val="00CE1CA0"/>
    <w:rsid w:val="00CE2142"/>
    <w:rsid w:val="00CE269D"/>
    <w:rsid w:val="00CE2FA7"/>
    <w:rsid w:val="00CE4DB7"/>
    <w:rsid w:val="00CE598F"/>
    <w:rsid w:val="00CE5991"/>
    <w:rsid w:val="00CE66EC"/>
    <w:rsid w:val="00CE6E58"/>
    <w:rsid w:val="00CE70E5"/>
    <w:rsid w:val="00CE7829"/>
    <w:rsid w:val="00CF09C2"/>
    <w:rsid w:val="00CF0C98"/>
    <w:rsid w:val="00CF13B5"/>
    <w:rsid w:val="00CF17C3"/>
    <w:rsid w:val="00CF18E1"/>
    <w:rsid w:val="00CF1D8B"/>
    <w:rsid w:val="00CF2C47"/>
    <w:rsid w:val="00CF3122"/>
    <w:rsid w:val="00CF33CF"/>
    <w:rsid w:val="00CF4695"/>
    <w:rsid w:val="00CF4727"/>
    <w:rsid w:val="00CF4AB9"/>
    <w:rsid w:val="00CF4C9D"/>
    <w:rsid w:val="00CF4D6D"/>
    <w:rsid w:val="00CF55B4"/>
    <w:rsid w:val="00CF5B6B"/>
    <w:rsid w:val="00CF6B6E"/>
    <w:rsid w:val="00CF7D10"/>
    <w:rsid w:val="00D00106"/>
    <w:rsid w:val="00D0045B"/>
    <w:rsid w:val="00D00C34"/>
    <w:rsid w:val="00D00C6F"/>
    <w:rsid w:val="00D026A8"/>
    <w:rsid w:val="00D02C6C"/>
    <w:rsid w:val="00D02D05"/>
    <w:rsid w:val="00D031CA"/>
    <w:rsid w:val="00D04280"/>
    <w:rsid w:val="00D04623"/>
    <w:rsid w:val="00D0693C"/>
    <w:rsid w:val="00D06F1B"/>
    <w:rsid w:val="00D07AFC"/>
    <w:rsid w:val="00D12B19"/>
    <w:rsid w:val="00D130B2"/>
    <w:rsid w:val="00D144D9"/>
    <w:rsid w:val="00D14889"/>
    <w:rsid w:val="00D14B5A"/>
    <w:rsid w:val="00D14F4F"/>
    <w:rsid w:val="00D166A6"/>
    <w:rsid w:val="00D16BCD"/>
    <w:rsid w:val="00D17A4B"/>
    <w:rsid w:val="00D20234"/>
    <w:rsid w:val="00D20BC5"/>
    <w:rsid w:val="00D22712"/>
    <w:rsid w:val="00D227ED"/>
    <w:rsid w:val="00D2352D"/>
    <w:rsid w:val="00D23868"/>
    <w:rsid w:val="00D25A55"/>
    <w:rsid w:val="00D261C4"/>
    <w:rsid w:val="00D27ACA"/>
    <w:rsid w:val="00D309D3"/>
    <w:rsid w:val="00D315B4"/>
    <w:rsid w:val="00D3204E"/>
    <w:rsid w:val="00D3252E"/>
    <w:rsid w:val="00D325C8"/>
    <w:rsid w:val="00D32A5C"/>
    <w:rsid w:val="00D32D8C"/>
    <w:rsid w:val="00D32EB6"/>
    <w:rsid w:val="00D331C0"/>
    <w:rsid w:val="00D3343F"/>
    <w:rsid w:val="00D338D9"/>
    <w:rsid w:val="00D34924"/>
    <w:rsid w:val="00D34CE9"/>
    <w:rsid w:val="00D35984"/>
    <w:rsid w:val="00D35E29"/>
    <w:rsid w:val="00D36E4B"/>
    <w:rsid w:val="00D37138"/>
    <w:rsid w:val="00D37DDC"/>
    <w:rsid w:val="00D408C7"/>
    <w:rsid w:val="00D427D7"/>
    <w:rsid w:val="00D42EBE"/>
    <w:rsid w:val="00D42F48"/>
    <w:rsid w:val="00D42FEB"/>
    <w:rsid w:val="00D43915"/>
    <w:rsid w:val="00D43D3B"/>
    <w:rsid w:val="00D449AB"/>
    <w:rsid w:val="00D44DC6"/>
    <w:rsid w:val="00D453B2"/>
    <w:rsid w:val="00D4727C"/>
    <w:rsid w:val="00D47DC7"/>
    <w:rsid w:val="00D50010"/>
    <w:rsid w:val="00D50310"/>
    <w:rsid w:val="00D51580"/>
    <w:rsid w:val="00D516D5"/>
    <w:rsid w:val="00D53C0F"/>
    <w:rsid w:val="00D5534E"/>
    <w:rsid w:val="00D56046"/>
    <w:rsid w:val="00D561A2"/>
    <w:rsid w:val="00D57021"/>
    <w:rsid w:val="00D573B6"/>
    <w:rsid w:val="00D57F66"/>
    <w:rsid w:val="00D610B2"/>
    <w:rsid w:val="00D61308"/>
    <w:rsid w:val="00D626DE"/>
    <w:rsid w:val="00D6277A"/>
    <w:rsid w:val="00D62DDD"/>
    <w:rsid w:val="00D64A59"/>
    <w:rsid w:val="00D65318"/>
    <w:rsid w:val="00D65CEB"/>
    <w:rsid w:val="00D65E7B"/>
    <w:rsid w:val="00D6624A"/>
    <w:rsid w:val="00D6687C"/>
    <w:rsid w:val="00D7027E"/>
    <w:rsid w:val="00D70B5A"/>
    <w:rsid w:val="00D70E43"/>
    <w:rsid w:val="00D738D6"/>
    <w:rsid w:val="00D74FFD"/>
    <w:rsid w:val="00D76431"/>
    <w:rsid w:val="00D776CC"/>
    <w:rsid w:val="00D80808"/>
    <w:rsid w:val="00D80D1A"/>
    <w:rsid w:val="00D80ECB"/>
    <w:rsid w:val="00D829CB"/>
    <w:rsid w:val="00D82D1E"/>
    <w:rsid w:val="00D82DF8"/>
    <w:rsid w:val="00D8455D"/>
    <w:rsid w:val="00D84742"/>
    <w:rsid w:val="00D84C72"/>
    <w:rsid w:val="00D85976"/>
    <w:rsid w:val="00D86736"/>
    <w:rsid w:val="00D86D82"/>
    <w:rsid w:val="00D87CF8"/>
    <w:rsid w:val="00D87DC1"/>
    <w:rsid w:val="00D90054"/>
    <w:rsid w:val="00D90473"/>
    <w:rsid w:val="00D907AC"/>
    <w:rsid w:val="00D9157C"/>
    <w:rsid w:val="00D916B2"/>
    <w:rsid w:val="00D91F64"/>
    <w:rsid w:val="00D92670"/>
    <w:rsid w:val="00D94DE0"/>
    <w:rsid w:val="00D953FC"/>
    <w:rsid w:val="00D97C53"/>
    <w:rsid w:val="00DA0459"/>
    <w:rsid w:val="00DA0494"/>
    <w:rsid w:val="00DA205A"/>
    <w:rsid w:val="00DA2192"/>
    <w:rsid w:val="00DA2BE1"/>
    <w:rsid w:val="00DA3898"/>
    <w:rsid w:val="00DA3E0D"/>
    <w:rsid w:val="00DA4089"/>
    <w:rsid w:val="00DA5821"/>
    <w:rsid w:val="00DA608D"/>
    <w:rsid w:val="00DA75C3"/>
    <w:rsid w:val="00DB2513"/>
    <w:rsid w:val="00DB30CC"/>
    <w:rsid w:val="00DB4723"/>
    <w:rsid w:val="00DB4C79"/>
    <w:rsid w:val="00DB561C"/>
    <w:rsid w:val="00DB605C"/>
    <w:rsid w:val="00DB6541"/>
    <w:rsid w:val="00DB68EC"/>
    <w:rsid w:val="00DB72FD"/>
    <w:rsid w:val="00DB77FD"/>
    <w:rsid w:val="00DC0268"/>
    <w:rsid w:val="00DC09F6"/>
    <w:rsid w:val="00DC1060"/>
    <w:rsid w:val="00DC12F2"/>
    <w:rsid w:val="00DC1C54"/>
    <w:rsid w:val="00DC2371"/>
    <w:rsid w:val="00DC25FE"/>
    <w:rsid w:val="00DC3092"/>
    <w:rsid w:val="00DC4409"/>
    <w:rsid w:val="00DC4892"/>
    <w:rsid w:val="00DC4E98"/>
    <w:rsid w:val="00DC53EC"/>
    <w:rsid w:val="00DC58C3"/>
    <w:rsid w:val="00DC5D03"/>
    <w:rsid w:val="00DC6598"/>
    <w:rsid w:val="00DC66AF"/>
    <w:rsid w:val="00DC7330"/>
    <w:rsid w:val="00DD0252"/>
    <w:rsid w:val="00DD14E7"/>
    <w:rsid w:val="00DD1A4D"/>
    <w:rsid w:val="00DD1A9D"/>
    <w:rsid w:val="00DD2748"/>
    <w:rsid w:val="00DD3957"/>
    <w:rsid w:val="00DD3D4B"/>
    <w:rsid w:val="00DD4245"/>
    <w:rsid w:val="00DD6DD2"/>
    <w:rsid w:val="00DD7265"/>
    <w:rsid w:val="00DE02DD"/>
    <w:rsid w:val="00DE032D"/>
    <w:rsid w:val="00DE13D5"/>
    <w:rsid w:val="00DE2262"/>
    <w:rsid w:val="00DE2297"/>
    <w:rsid w:val="00DE29AE"/>
    <w:rsid w:val="00DE3419"/>
    <w:rsid w:val="00DE3AF6"/>
    <w:rsid w:val="00DE3F6B"/>
    <w:rsid w:val="00DE3FB6"/>
    <w:rsid w:val="00DE483D"/>
    <w:rsid w:val="00DE4D97"/>
    <w:rsid w:val="00DE66A6"/>
    <w:rsid w:val="00DE6A7F"/>
    <w:rsid w:val="00DE6F8B"/>
    <w:rsid w:val="00DE7391"/>
    <w:rsid w:val="00DF0DBB"/>
    <w:rsid w:val="00DF104D"/>
    <w:rsid w:val="00DF112F"/>
    <w:rsid w:val="00DF1B70"/>
    <w:rsid w:val="00DF2F87"/>
    <w:rsid w:val="00DF30C9"/>
    <w:rsid w:val="00DF3118"/>
    <w:rsid w:val="00DF35D8"/>
    <w:rsid w:val="00DF3A14"/>
    <w:rsid w:val="00DF4630"/>
    <w:rsid w:val="00DF4808"/>
    <w:rsid w:val="00DF60EA"/>
    <w:rsid w:val="00DF69D1"/>
    <w:rsid w:val="00DF6D59"/>
    <w:rsid w:val="00DF7D5A"/>
    <w:rsid w:val="00E00557"/>
    <w:rsid w:val="00E0055E"/>
    <w:rsid w:val="00E005C1"/>
    <w:rsid w:val="00E00954"/>
    <w:rsid w:val="00E00E68"/>
    <w:rsid w:val="00E0162F"/>
    <w:rsid w:val="00E01E41"/>
    <w:rsid w:val="00E022A6"/>
    <w:rsid w:val="00E0247C"/>
    <w:rsid w:val="00E02A87"/>
    <w:rsid w:val="00E03E37"/>
    <w:rsid w:val="00E059F5"/>
    <w:rsid w:val="00E1031E"/>
    <w:rsid w:val="00E1135E"/>
    <w:rsid w:val="00E12D37"/>
    <w:rsid w:val="00E13880"/>
    <w:rsid w:val="00E155B5"/>
    <w:rsid w:val="00E15B54"/>
    <w:rsid w:val="00E15D71"/>
    <w:rsid w:val="00E15DD5"/>
    <w:rsid w:val="00E1611F"/>
    <w:rsid w:val="00E16142"/>
    <w:rsid w:val="00E169C9"/>
    <w:rsid w:val="00E17878"/>
    <w:rsid w:val="00E2047F"/>
    <w:rsid w:val="00E20524"/>
    <w:rsid w:val="00E218C4"/>
    <w:rsid w:val="00E22C1B"/>
    <w:rsid w:val="00E2362F"/>
    <w:rsid w:val="00E24915"/>
    <w:rsid w:val="00E24E71"/>
    <w:rsid w:val="00E25EC8"/>
    <w:rsid w:val="00E26E07"/>
    <w:rsid w:val="00E27A68"/>
    <w:rsid w:val="00E305F9"/>
    <w:rsid w:val="00E31703"/>
    <w:rsid w:val="00E31934"/>
    <w:rsid w:val="00E32E25"/>
    <w:rsid w:val="00E33B5E"/>
    <w:rsid w:val="00E33F3B"/>
    <w:rsid w:val="00E3541A"/>
    <w:rsid w:val="00E35768"/>
    <w:rsid w:val="00E37184"/>
    <w:rsid w:val="00E405E5"/>
    <w:rsid w:val="00E4109A"/>
    <w:rsid w:val="00E41802"/>
    <w:rsid w:val="00E41C7C"/>
    <w:rsid w:val="00E43142"/>
    <w:rsid w:val="00E43236"/>
    <w:rsid w:val="00E4440B"/>
    <w:rsid w:val="00E463F2"/>
    <w:rsid w:val="00E46693"/>
    <w:rsid w:val="00E46F3B"/>
    <w:rsid w:val="00E47B89"/>
    <w:rsid w:val="00E5067C"/>
    <w:rsid w:val="00E50C50"/>
    <w:rsid w:val="00E51287"/>
    <w:rsid w:val="00E51603"/>
    <w:rsid w:val="00E51722"/>
    <w:rsid w:val="00E51AC3"/>
    <w:rsid w:val="00E52962"/>
    <w:rsid w:val="00E53862"/>
    <w:rsid w:val="00E53B10"/>
    <w:rsid w:val="00E55BE9"/>
    <w:rsid w:val="00E56BD8"/>
    <w:rsid w:val="00E57671"/>
    <w:rsid w:val="00E57672"/>
    <w:rsid w:val="00E57EFE"/>
    <w:rsid w:val="00E57FDC"/>
    <w:rsid w:val="00E60518"/>
    <w:rsid w:val="00E60785"/>
    <w:rsid w:val="00E60F37"/>
    <w:rsid w:val="00E6154C"/>
    <w:rsid w:val="00E64EA3"/>
    <w:rsid w:val="00E653BD"/>
    <w:rsid w:val="00E66195"/>
    <w:rsid w:val="00E663FF"/>
    <w:rsid w:val="00E66BC1"/>
    <w:rsid w:val="00E66DC3"/>
    <w:rsid w:val="00E67067"/>
    <w:rsid w:val="00E672C9"/>
    <w:rsid w:val="00E706FB"/>
    <w:rsid w:val="00E70FAE"/>
    <w:rsid w:val="00E714C6"/>
    <w:rsid w:val="00E7369A"/>
    <w:rsid w:val="00E74E61"/>
    <w:rsid w:val="00E75F44"/>
    <w:rsid w:val="00E7606B"/>
    <w:rsid w:val="00E777AB"/>
    <w:rsid w:val="00E80454"/>
    <w:rsid w:val="00E83918"/>
    <w:rsid w:val="00E84960"/>
    <w:rsid w:val="00E850F3"/>
    <w:rsid w:val="00E85219"/>
    <w:rsid w:val="00E85D4B"/>
    <w:rsid w:val="00E85EE4"/>
    <w:rsid w:val="00E866A3"/>
    <w:rsid w:val="00E86DC2"/>
    <w:rsid w:val="00E87112"/>
    <w:rsid w:val="00E902CE"/>
    <w:rsid w:val="00E90827"/>
    <w:rsid w:val="00E90ECB"/>
    <w:rsid w:val="00E93E3C"/>
    <w:rsid w:val="00E950DF"/>
    <w:rsid w:val="00E95211"/>
    <w:rsid w:val="00E9569C"/>
    <w:rsid w:val="00E970EC"/>
    <w:rsid w:val="00E9752B"/>
    <w:rsid w:val="00E97993"/>
    <w:rsid w:val="00EA0973"/>
    <w:rsid w:val="00EA0B95"/>
    <w:rsid w:val="00EA0CE1"/>
    <w:rsid w:val="00EA0E5A"/>
    <w:rsid w:val="00EA1F42"/>
    <w:rsid w:val="00EA2EEA"/>
    <w:rsid w:val="00EA37F5"/>
    <w:rsid w:val="00EA4B4C"/>
    <w:rsid w:val="00EA5070"/>
    <w:rsid w:val="00EA621C"/>
    <w:rsid w:val="00EA6C56"/>
    <w:rsid w:val="00EB0FEB"/>
    <w:rsid w:val="00EB10AD"/>
    <w:rsid w:val="00EB147B"/>
    <w:rsid w:val="00EB15EB"/>
    <w:rsid w:val="00EB1DAB"/>
    <w:rsid w:val="00EB1F9A"/>
    <w:rsid w:val="00EB2082"/>
    <w:rsid w:val="00EB2C45"/>
    <w:rsid w:val="00EB3617"/>
    <w:rsid w:val="00EB3C38"/>
    <w:rsid w:val="00EB61A8"/>
    <w:rsid w:val="00EB66E6"/>
    <w:rsid w:val="00EB7D05"/>
    <w:rsid w:val="00EC0016"/>
    <w:rsid w:val="00EC04E3"/>
    <w:rsid w:val="00EC0C3B"/>
    <w:rsid w:val="00EC197F"/>
    <w:rsid w:val="00EC1B72"/>
    <w:rsid w:val="00EC23B6"/>
    <w:rsid w:val="00EC41E7"/>
    <w:rsid w:val="00EC5CAD"/>
    <w:rsid w:val="00EC7D23"/>
    <w:rsid w:val="00ED0E3E"/>
    <w:rsid w:val="00ED1830"/>
    <w:rsid w:val="00ED19B3"/>
    <w:rsid w:val="00ED20F9"/>
    <w:rsid w:val="00ED2D05"/>
    <w:rsid w:val="00ED64AB"/>
    <w:rsid w:val="00ED695B"/>
    <w:rsid w:val="00ED6CAF"/>
    <w:rsid w:val="00ED7101"/>
    <w:rsid w:val="00ED77C4"/>
    <w:rsid w:val="00EE07AC"/>
    <w:rsid w:val="00EE0B0F"/>
    <w:rsid w:val="00EE0E12"/>
    <w:rsid w:val="00EE11C4"/>
    <w:rsid w:val="00EE1E1D"/>
    <w:rsid w:val="00EE333B"/>
    <w:rsid w:val="00EE40F0"/>
    <w:rsid w:val="00EE48EC"/>
    <w:rsid w:val="00EE6927"/>
    <w:rsid w:val="00EE792E"/>
    <w:rsid w:val="00EE7A52"/>
    <w:rsid w:val="00EF056A"/>
    <w:rsid w:val="00EF15A1"/>
    <w:rsid w:val="00EF2B89"/>
    <w:rsid w:val="00EF2C89"/>
    <w:rsid w:val="00EF42E0"/>
    <w:rsid w:val="00EF460D"/>
    <w:rsid w:val="00EF5A06"/>
    <w:rsid w:val="00EF5A95"/>
    <w:rsid w:val="00EF5F08"/>
    <w:rsid w:val="00F0042C"/>
    <w:rsid w:val="00F00D9E"/>
    <w:rsid w:val="00F03468"/>
    <w:rsid w:val="00F04D41"/>
    <w:rsid w:val="00F060CA"/>
    <w:rsid w:val="00F06438"/>
    <w:rsid w:val="00F0674E"/>
    <w:rsid w:val="00F0731E"/>
    <w:rsid w:val="00F07565"/>
    <w:rsid w:val="00F101D9"/>
    <w:rsid w:val="00F10668"/>
    <w:rsid w:val="00F116C2"/>
    <w:rsid w:val="00F11F63"/>
    <w:rsid w:val="00F1256B"/>
    <w:rsid w:val="00F12B6B"/>
    <w:rsid w:val="00F13DEC"/>
    <w:rsid w:val="00F14181"/>
    <w:rsid w:val="00F14DE8"/>
    <w:rsid w:val="00F15196"/>
    <w:rsid w:val="00F15485"/>
    <w:rsid w:val="00F157EA"/>
    <w:rsid w:val="00F15DEC"/>
    <w:rsid w:val="00F15EC3"/>
    <w:rsid w:val="00F16B85"/>
    <w:rsid w:val="00F20088"/>
    <w:rsid w:val="00F20EC1"/>
    <w:rsid w:val="00F21B18"/>
    <w:rsid w:val="00F229D8"/>
    <w:rsid w:val="00F25531"/>
    <w:rsid w:val="00F25C01"/>
    <w:rsid w:val="00F27289"/>
    <w:rsid w:val="00F30616"/>
    <w:rsid w:val="00F30820"/>
    <w:rsid w:val="00F32B85"/>
    <w:rsid w:val="00F32BD1"/>
    <w:rsid w:val="00F33B05"/>
    <w:rsid w:val="00F33B70"/>
    <w:rsid w:val="00F415F2"/>
    <w:rsid w:val="00F423FB"/>
    <w:rsid w:val="00F43097"/>
    <w:rsid w:val="00F437E3"/>
    <w:rsid w:val="00F43B1B"/>
    <w:rsid w:val="00F43BC0"/>
    <w:rsid w:val="00F46B6E"/>
    <w:rsid w:val="00F46C29"/>
    <w:rsid w:val="00F46E76"/>
    <w:rsid w:val="00F4774B"/>
    <w:rsid w:val="00F4782F"/>
    <w:rsid w:val="00F50C09"/>
    <w:rsid w:val="00F517A1"/>
    <w:rsid w:val="00F51CE2"/>
    <w:rsid w:val="00F5365D"/>
    <w:rsid w:val="00F53D5A"/>
    <w:rsid w:val="00F54170"/>
    <w:rsid w:val="00F54DA7"/>
    <w:rsid w:val="00F55CE4"/>
    <w:rsid w:val="00F56220"/>
    <w:rsid w:val="00F60F27"/>
    <w:rsid w:val="00F61911"/>
    <w:rsid w:val="00F62794"/>
    <w:rsid w:val="00F62EAA"/>
    <w:rsid w:val="00F6346C"/>
    <w:rsid w:val="00F63E09"/>
    <w:rsid w:val="00F642DD"/>
    <w:rsid w:val="00F67E8B"/>
    <w:rsid w:val="00F718A6"/>
    <w:rsid w:val="00F729A5"/>
    <w:rsid w:val="00F72BFD"/>
    <w:rsid w:val="00F72E9A"/>
    <w:rsid w:val="00F73071"/>
    <w:rsid w:val="00F74735"/>
    <w:rsid w:val="00F753A5"/>
    <w:rsid w:val="00F7581F"/>
    <w:rsid w:val="00F75DBE"/>
    <w:rsid w:val="00F76348"/>
    <w:rsid w:val="00F7792F"/>
    <w:rsid w:val="00F80148"/>
    <w:rsid w:val="00F80BAD"/>
    <w:rsid w:val="00F819C3"/>
    <w:rsid w:val="00F81A48"/>
    <w:rsid w:val="00F81FDB"/>
    <w:rsid w:val="00F8284A"/>
    <w:rsid w:val="00F82F6B"/>
    <w:rsid w:val="00F83846"/>
    <w:rsid w:val="00F85CF9"/>
    <w:rsid w:val="00F862DF"/>
    <w:rsid w:val="00F87091"/>
    <w:rsid w:val="00F87285"/>
    <w:rsid w:val="00F901A7"/>
    <w:rsid w:val="00F901BE"/>
    <w:rsid w:val="00F90CDF"/>
    <w:rsid w:val="00F9160C"/>
    <w:rsid w:val="00F932F8"/>
    <w:rsid w:val="00F93B2D"/>
    <w:rsid w:val="00F94040"/>
    <w:rsid w:val="00F9479F"/>
    <w:rsid w:val="00F948C6"/>
    <w:rsid w:val="00F95A6D"/>
    <w:rsid w:val="00F95E0C"/>
    <w:rsid w:val="00F968B8"/>
    <w:rsid w:val="00F96A15"/>
    <w:rsid w:val="00F97AC1"/>
    <w:rsid w:val="00F97DDD"/>
    <w:rsid w:val="00FA01E9"/>
    <w:rsid w:val="00FA105A"/>
    <w:rsid w:val="00FA1B33"/>
    <w:rsid w:val="00FA2A21"/>
    <w:rsid w:val="00FA43D3"/>
    <w:rsid w:val="00FA5468"/>
    <w:rsid w:val="00FA652B"/>
    <w:rsid w:val="00FA6E12"/>
    <w:rsid w:val="00FA77FA"/>
    <w:rsid w:val="00FA7F08"/>
    <w:rsid w:val="00FB0AD5"/>
    <w:rsid w:val="00FB1E5E"/>
    <w:rsid w:val="00FB326D"/>
    <w:rsid w:val="00FB32E7"/>
    <w:rsid w:val="00FB33F5"/>
    <w:rsid w:val="00FB3644"/>
    <w:rsid w:val="00FB4574"/>
    <w:rsid w:val="00FB687D"/>
    <w:rsid w:val="00FC0BBB"/>
    <w:rsid w:val="00FC0DCD"/>
    <w:rsid w:val="00FC10DE"/>
    <w:rsid w:val="00FC1261"/>
    <w:rsid w:val="00FC17DF"/>
    <w:rsid w:val="00FC2E40"/>
    <w:rsid w:val="00FD146D"/>
    <w:rsid w:val="00FD1976"/>
    <w:rsid w:val="00FD2830"/>
    <w:rsid w:val="00FD2A15"/>
    <w:rsid w:val="00FD3F96"/>
    <w:rsid w:val="00FD4E00"/>
    <w:rsid w:val="00FD4FF2"/>
    <w:rsid w:val="00FD5325"/>
    <w:rsid w:val="00FD5E57"/>
    <w:rsid w:val="00FD6BCD"/>
    <w:rsid w:val="00FE1917"/>
    <w:rsid w:val="00FE2771"/>
    <w:rsid w:val="00FE329C"/>
    <w:rsid w:val="00FE3E5C"/>
    <w:rsid w:val="00FE50D9"/>
    <w:rsid w:val="00FE54E7"/>
    <w:rsid w:val="00FE5CF3"/>
    <w:rsid w:val="00FE6258"/>
    <w:rsid w:val="00FE7BE4"/>
    <w:rsid w:val="00FF2161"/>
    <w:rsid w:val="00FF27DE"/>
    <w:rsid w:val="00FF2A4E"/>
    <w:rsid w:val="00FF46D6"/>
    <w:rsid w:val="00FF4818"/>
    <w:rsid w:val="00FF4B98"/>
    <w:rsid w:val="00FF7324"/>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74753"/>
    <o:shapelayout v:ext="edit">
      <o:idmap v:ext="edit" data="1"/>
    </o:shapelayout>
  </w:shapeDefaults>
  <w:decimalSymbol w:val="."/>
  <w:listSeparator w:val=","/>
  <w14:docId w14:val="79288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qFormat/>
    <w:rsid w:val="00D916B2"/>
    <w:pPr>
      <w:spacing w:before="120" w:after="240"/>
      <w:jc w:val="left"/>
      <w:outlineLvl w:val="0"/>
    </w:pPr>
    <w:rPr>
      <w:rFonts w:ascii="Arial" w:hAnsi="Arial" w:cs="Arial"/>
      <w:b/>
      <w:sz w:val="24"/>
      <w:szCs w:val="24"/>
    </w:rPr>
  </w:style>
  <w:style w:type="paragraph" w:styleId="Heading2">
    <w:name w:val="heading 2"/>
    <w:basedOn w:val="Normal"/>
    <w:next w:val="Normal"/>
    <w:qFormat/>
    <w:rsid w:val="00D916B2"/>
    <w:pPr>
      <w:spacing w:after="240"/>
      <w:jc w:val="left"/>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BA13DC"/>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rPr>
      <w:b/>
      <w:sz w:val="24"/>
      <w:u w:val="single"/>
    </w:rPr>
  </w:style>
  <w:style w:type="paragraph" w:styleId="Heading5">
    <w:name w:val="heading 5"/>
    <w:basedOn w:val="Normal"/>
    <w:next w:val="Normal"/>
    <w:qFormat/>
    <w:pPr>
      <w:keepNext/>
      <w:tabs>
        <w:tab w:val="left" w:pos="540"/>
      </w:tabs>
      <w:spacing w:line="240" w:lineRule="exact"/>
      <w:outlineLvl w:val="4"/>
    </w:pPr>
    <w:rPr>
      <w:b/>
      <w:sz w:val="24"/>
    </w:rPr>
  </w:style>
  <w:style w:type="paragraph" w:styleId="Heading9">
    <w:name w:val="heading 9"/>
    <w:basedOn w:val="Normal"/>
    <w:next w:val="Normal"/>
    <w:link w:val="Heading9Char"/>
    <w:uiPriority w:val="9"/>
    <w:semiHidden/>
    <w:unhideWhenUsed/>
    <w:qFormat/>
    <w:rsid w:val="00BA13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Emphasis">
    <w:name w:val="Emphasis"/>
    <w:qFormat/>
    <w:rPr>
      <w:i/>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Hyperlink">
    <w:name w:val="Hyperlink"/>
    <w:rsid w:val="0093656C"/>
    <w:rPr>
      <w:color w:val="0000FF"/>
      <w:u w:val="non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textAlignment w:val="baseline"/>
    </w:pPr>
    <w:rPr>
      <w:b/>
      <w:i/>
      <w:sz w:val="24"/>
      <w:szCs w:val="24"/>
      <w:u w:val="single"/>
    </w:rPr>
  </w:style>
  <w:style w:type="paragraph" w:styleId="BlockText">
    <w:name w:val="Block Text"/>
    <w:basedOn w:val="Normal"/>
    <w:pPr>
      <w:ind w:left="1440" w:right="1440" w:hanging="720"/>
    </w:pPr>
    <w:rPr>
      <w:rFonts w:ascii="Times" w:hAnsi="Times"/>
      <w:sz w:val="24"/>
    </w:rPr>
  </w:style>
  <w:style w:type="paragraph" w:styleId="BodyTextIndent2">
    <w:name w:val="Body Text Indent 2"/>
    <w:basedOn w:val="Normal"/>
    <w:pPr>
      <w:spacing w:after="120" w:line="480" w:lineRule="auto"/>
      <w:ind w:left="360"/>
    </w:pPr>
  </w:style>
  <w:style w:type="character" w:styleId="Strong">
    <w:name w:val="Strong"/>
    <w:qFormat/>
    <w:rsid w:val="00866BFA"/>
    <w:rPr>
      <w:b/>
      <w:bCs/>
    </w:rPr>
  </w:style>
  <w:style w:type="paragraph" w:styleId="FootnoteText">
    <w:name w:val="footnote text"/>
    <w:basedOn w:val="Normal"/>
    <w:link w:val="FootnoteTextChar"/>
    <w:unhideWhenUsed/>
    <w:rsid w:val="00F46E76"/>
  </w:style>
  <w:style w:type="character" w:customStyle="1" w:styleId="FootnoteTextChar">
    <w:name w:val="Footnote Text Char"/>
    <w:basedOn w:val="DefaultParagraphFont"/>
    <w:link w:val="FootnoteText"/>
    <w:rsid w:val="00F46E76"/>
  </w:style>
  <w:style w:type="character" w:styleId="FootnoteReference">
    <w:name w:val="footnote reference"/>
    <w:unhideWhenUsed/>
    <w:rsid w:val="00F46E76"/>
    <w:rPr>
      <w:vertAlign w:val="superscript"/>
    </w:rPr>
  </w:style>
  <w:style w:type="paragraph" w:styleId="EndnoteText">
    <w:name w:val="endnote text"/>
    <w:basedOn w:val="Normal"/>
    <w:link w:val="EndnoteTextChar"/>
    <w:uiPriority w:val="99"/>
    <w:semiHidden/>
    <w:unhideWhenUsed/>
    <w:rsid w:val="00B37946"/>
  </w:style>
  <w:style w:type="character" w:customStyle="1" w:styleId="EndnoteTextChar">
    <w:name w:val="Endnote Text Char"/>
    <w:basedOn w:val="DefaultParagraphFont"/>
    <w:link w:val="EndnoteText"/>
    <w:uiPriority w:val="99"/>
    <w:semiHidden/>
    <w:rsid w:val="00B37946"/>
  </w:style>
  <w:style w:type="character" w:styleId="EndnoteReference">
    <w:name w:val="endnote reference"/>
    <w:uiPriority w:val="99"/>
    <w:semiHidden/>
    <w:unhideWhenUsed/>
    <w:rsid w:val="00B37946"/>
    <w:rPr>
      <w:vertAlign w:val="superscript"/>
    </w:rPr>
  </w:style>
  <w:style w:type="table" w:styleId="LightList-Accent3">
    <w:name w:val="Light List Accent 3"/>
    <w:basedOn w:val="TableNormal"/>
    <w:uiPriority w:val="61"/>
    <w:rsid w:val="00000013"/>
    <w:rPr>
      <w:rFonts w:ascii="Calibri" w:hAnsi="Calibri"/>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3">
    <w:name w:val="Body Text 3"/>
    <w:basedOn w:val="Normal"/>
    <w:link w:val="BodyText3Char"/>
    <w:uiPriority w:val="99"/>
    <w:semiHidden/>
    <w:unhideWhenUsed/>
    <w:rsid w:val="00765B65"/>
    <w:pPr>
      <w:spacing w:after="120"/>
    </w:pPr>
    <w:rPr>
      <w:sz w:val="16"/>
      <w:szCs w:val="16"/>
    </w:rPr>
  </w:style>
  <w:style w:type="character" w:customStyle="1" w:styleId="BodyText3Char">
    <w:name w:val="Body Text 3 Char"/>
    <w:link w:val="BodyText3"/>
    <w:uiPriority w:val="99"/>
    <w:semiHidden/>
    <w:rsid w:val="00765B65"/>
    <w:rPr>
      <w:sz w:val="16"/>
      <w:szCs w:val="16"/>
    </w:rPr>
  </w:style>
  <w:style w:type="character" w:customStyle="1" w:styleId="Heading3Char">
    <w:name w:val="Heading 3 Char"/>
    <w:link w:val="Heading3"/>
    <w:uiPriority w:val="9"/>
    <w:semiHidden/>
    <w:rsid w:val="00BA13DC"/>
    <w:rPr>
      <w:rFonts w:ascii="Cambria" w:eastAsia="Times New Roman" w:hAnsi="Cambria" w:cs="Times New Roman"/>
      <w:b/>
      <w:bCs/>
      <w:sz w:val="26"/>
      <w:szCs w:val="26"/>
    </w:rPr>
  </w:style>
  <w:style w:type="character" w:customStyle="1" w:styleId="Heading9Char">
    <w:name w:val="Heading 9 Char"/>
    <w:link w:val="Heading9"/>
    <w:uiPriority w:val="9"/>
    <w:semiHidden/>
    <w:rsid w:val="00BA13DC"/>
    <w:rPr>
      <w:rFonts w:ascii="Cambria" w:eastAsia="Times New Roman" w:hAnsi="Cambria" w:cs="Times New Roman"/>
      <w:sz w:val="22"/>
      <w:szCs w:val="22"/>
    </w:rPr>
  </w:style>
  <w:style w:type="paragraph" w:customStyle="1" w:styleId="TableBody">
    <w:name w:val="Table Body"/>
    <w:basedOn w:val="Normal"/>
    <w:qFormat/>
    <w:rsid w:val="00BA13DC"/>
    <w:pPr>
      <w:widowControl w:val="0"/>
      <w:jc w:val="left"/>
    </w:pPr>
    <w:rPr>
      <w:rFonts w:ascii="Arial" w:hAnsi="Arial"/>
      <w:sz w:val="18"/>
    </w:rPr>
  </w:style>
  <w:style w:type="paragraph" w:customStyle="1" w:styleId="TableColHeading">
    <w:name w:val="Table Col Heading"/>
    <w:basedOn w:val="TableBody"/>
    <w:qFormat/>
    <w:rsid w:val="00BA13DC"/>
    <w:pPr>
      <w:jc w:val="center"/>
    </w:pPr>
    <w:rPr>
      <w:b/>
    </w:rPr>
  </w:style>
  <w:style w:type="table" w:styleId="TableGrid">
    <w:name w:val="Table Grid"/>
    <w:basedOn w:val="TableNormal"/>
    <w:uiPriority w:val="59"/>
    <w:rsid w:val="00BA13DC"/>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ListParagraph">
    <w:name w:val="List Paragraph"/>
    <w:basedOn w:val="Normal"/>
    <w:uiPriority w:val="34"/>
    <w:qFormat/>
    <w:rsid w:val="00BA13DC"/>
    <w:pPr>
      <w:spacing w:after="200" w:line="276" w:lineRule="auto"/>
      <w:ind w:left="720"/>
      <w:contextualSpacing/>
      <w:jc w:val="left"/>
    </w:pPr>
    <w:rPr>
      <w:rFonts w:ascii="Cambria" w:eastAsia="Cambria" w:hAnsi="Cambria"/>
      <w:sz w:val="22"/>
      <w:szCs w:val="22"/>
    </w:rPr>
  </w:style>
  <w:style w:type="paragraph" w:customStyle="1" w:styleId="TableNote">
    <w:name w:val="Table Note"/>
    <w:basedOn w:val="TableBody"/>
    <w:qFormat/>
    <w:rsid w:val="00AA4FE9"/>
    <w:pPr>
      <w:contextualSpacing/>
    </w:pPr>
  </w:style>
  <w:style w:type="character" w:styleId="CommentReference">
    <w:name w:val="annotation reference"/>
    <w:uiPriority w:val="99"/>
    <w:rsid w:val="009779A8"/>
    <w:rPr>
      <w:sz w:val="18"/>
    </w:rPr>
  </w:style>
  <w:style w:type="paragraph" w:styleId="CommentText">
    <w:name w:val="annotation text"/>
    <w:basedOn w:val="Normal"/>
    <w:link w:val="CommentTextChar"/>
    <w:uiPriority w:val="99"/>
    <w:rsid w:val="009779A8"/>
    <w:pPr>
      <w:spacing w:line="288" w:lineRule="auto"/>
      <w:ind w:firstLine="360"/>
      <w:jc w:val="left"/>
    </w:pPr>
    <w:rPr>
      <w:sz w:val="24"/>
      <w:szCs w:val="24"/>
    </w:rPr>
  </w:style>
  <w:style w:type="character" w:customStyle="1" w:styleId="CommentTextChar">
    <w:name w:val="Comment Text Char"/>
    <w:link w:val="CommentText"/>
    <w:uiPriority w:val="99"/>
    <w:rsid w:val="009779A8"/>
    <w:rPr>
      <w:sz w:val="24"/>
      <w:szCs w:val="24"/>
    </w:rPr>
  </w:style>
  <w:style w:type="paragraph" w:styleId="ListBullet">
    <w:name w:val="List Bullet"/>
    <w:basedOn w:val="Normal"/>
    <w:qFormat/>
    <w:rsid w:val="00DD0252"/>
    <w:pPr>
      <w:numPr>
        <w:numId w:val="13"/>
      </w:numPr>
      <w:spacing w:before="120" w:after="120"/>
      <w:contextualSpacing/>
      <w:jc w:val="left"/>
    </w:pPr>
    <w:rPr>
      <w:sz w:val="24"/>
      <w:szCs w:val="24"/>
    </w:rPr>
  </w:style>
  <w:style w:type="paragraph" w:styleId="BalloonText">
    <w:name w:val="Balloon Text"/>
    <w:basedOn w:val="Normal"/>
    <w:link w:val="BalloonTextChar"/>
    <w:uiPriority w:val="99"/>
    <w:semiHidden/>
    <w:unhideWhenUsed/>
    <w:rsid w:val="00924BF0"/>
    <w:rPr>
      <w:rFonts w:ascii="Tahoma" w:hAnsi="Tahoma" w:cs="Tahoma"/>
      <w:sz w:val="16"/>
      <w:szCs w:val="16"/>
    </w:rPr>
  </w:style>
  <w:style w:type="character" w:customStyle="1" w:styleId="BalloonTextChar">
    <w:name w:val="Balloon Text Char"/>
    <w:link w:val="BalloonText"/>
    <w:uiPriority w:val="99"/>
    <w:semiHidden/>
    <w:rsid w:val="00924BF0"/>
    <w:rPr>
      <w:rFonts w:ascii="Tahoma" w:hAnsi="Tahoma" w:cs="Tahoma"/>
      <w:sz w:val="16"/>
      <w:szCs w:val="16"/>
    </w:rPr>
  </w:style>
  <w:style w:type="paragraph" w:customStyle="1" w:styleId="TableBodyIndent1">
    <w:name w:val="Table Body Indent 1"/>
    <w:basedOn w:val="TableBody"/>
    <w:qFormat/>
    <w:rsid w:val="000942B5"/>
    <w:pPr>
      <w:ind w:left="360"/>
    </w:pPr>
  </w:style>
  <w:style w:type="character" w:customStyle="1" w:styleId="FooterChar">
    <w:name w:val="Footer Char"/>
    <w:link w:val="Footer"/>
    <w:uiPriority w:val="99"/>
    <w:rsid w:val="00A727B8"/>
  </w:style>
  <w:style w:type="paragraph" w:styleId="CommentSubject">
    <w:name w:val="annotation subject"/>
    <w:basedOn w:val="CommentText"/>
    <w:next w:val="CommentText"/>
    <w:link w:val="CommentSubjectChar"/>
    <w:uiPriority w:val="99"/>
    <w:semiHidden/>
    <w:unhideWhenUsed/>
    <w:rsid w:val="005920E6"/>
    <w:pPr>
      <w:spacing w:line="240" w:lineRule="auto"/>
      <w:ind w:firstLine="0"/>
      <w:jc w:val="both"/>
    </w:pPr>
    <w:rPr>
      <w:b/>
      <w:bCs/>
      <w:sz w:val="20"/>
      <w:szCs w:val="20"/>
    </w:rPr>
  </w:style>
  <w:style w:type="character" w:customStyle="1" w:styleId="CommentSubjectChar">
    <w:name w:val="Comment Subject Char"/>
    <w:link w:val="CommentSubject"/>
    <w:uiPriority w:val="99"/>
    <w:semiHidden/>
    <w:rsid w:val="005920E6"/>
    <w:rPr>
      <w:b/>
      <w:bCs/>
      <w:sz w:val="24"/>
      <w:szCs w:val="24"/>
    </w:rPr>
  </w:style>
  <w:style w:type="character" w:styleId="FollowedHyperlink">
    <w:name w:val="FollowedHyperlink"/>
    <w:uiPriority w:val="99"/>
    <w:semiHidden/>
    <w:unhideWhenUsed/>
    <w:rsid w:val="00B94B69"/>
    <w:rPr>
      <w:color w:val="954F72"/>
      <w:u w:val="single"/>
    </w:rPr>
  </w:style>
  <w:style w:type="paragraph" w:styleId="BodyText2">
    <w:name w:val="Body Text 2"/>
    <w:basedOn w:val="Normal"/>
    <w:link w:val="BodyText2Char"/>
    <w:uiPriority w:val="99"/>
    <w:semiHidden/>
    <w:unhideWhenUsed/>
    <w:rsid w:val="00A96D60"/>
    <w:pPr>
      <w:spacing w:after="120" w:line="480" w:lineRule="auto"/>
    </w:pPr>
  </w:style>
  <w:style w:type="character" w:customStyle="1" w:styleId="BodyText2Char">
    <w:name w:val="Body Text 2 Char"/>
    <w:basedOn w:val="DefaultParagraphFont"/>
    <w:link w:val="BodyText2"/>
    <w:uiPriority w:val="99"/>
    <w:semiHidden/>
    <w:rsid w:val="00A96D60"/>
  </w:style>
  <w:style w:type="paragraph" w:styleId="Revision">
    <w:name w:val="Revision"/>
    <w:hidden/>
    <w:uiPriority w:val="99"/>
    <w:semiHidden/>
    <w:rsid w:val="00B80247"/>
  </w:style>
  <w:style w:type="character" w:styleId="UnresolvedMention">
    <w:name w:val="Unresolved Mention"/>
    <w:basedOn w:val="DefaultParagraphFont"/>
    <w:uiPriority w:val="99"/>
    <w:semiHidden/>
    <w:unhideWhenUsed/>
    <w:rsid w:val="0050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897">
      <w:bodyDiv w:val="1"/>
      <w:marLeft w:val="0"/>
      <w:marRight w:val="0"/>
      <w:marTop w:val="0"/>
      <w:marBottom w:val="0"/>
      <w:divBdr>
        <w:top w:val="none" w:sz="0" w:space="0" w:color="auto"/>
        <w:left w:val="none" w:sz="0" w:space="0" w:color="auto"/>
        <w:bottom w:val="none" w:sz="0" w:space="0" w:color="auto"/>
        <w:right w:val="none" w:sz="0" w:space="0" w:color="auto"/>
      </w:divBdr>
    </w:div>
    <w:div w:id="9381142">
      <w:bodyDiv w:val="1"/>
      <w:marLeft w:val="0"/>
      <w:marRight w:val="0"/>
      <w:marTop w:val="0"/>
      <w:marBottom w:val="0"/>
      <w:divBdr>
        <w:top w:val="none" w:sz="0" w:space="0" w:color="auto"/>
        <w:left w:val="none" w:sz="0" w:space="0" w:color="auto"/>
        <w:bottom w:val="none" w:sz="0" w:space="0" w:color="auto"/>
        <w:right w:val="none" w:sz="0" w:space="0" w:color="auto"/>
      </w:divBdr>
    </w:div>
    <w:div w:id="20136248">
      <w:bodyDiv w:val="1"/>
      <w:marLeft w:val="0"/>
      <w:marRight w:val="0"/>
      <w:marTop w:val="0"/>
      <w:marBottom w:val="0"/>
      <w:divBdr>
        <w:top w:val="none" w:sz="0" w:space="0" w:color="auto"/>
        <w:left w:val="none" w:sz="0" w:space="0" w:color="auto"/>
        <w:bottom w:val="none" w:sz="0" w:space="0" w:color="auto"/>
        <w:right w:val="none" w:sz="0" w:space="0" w:color="auto"/>
      </w:divBdr>
    </w:div>
    <w:div w:id="34738532">
      <w:bodyDiv w:val="1"/>
      <w:marLeft w:val="0"/>
      <w:marRight w:val="0"/>
      <w:marTop w:val="0"/>
      <w:marBottom w:val="0"/>
      <w:divBdr>
        <w:top w:val="none" w:sz="0" w:space="0" w:color="auto"/>
        <w:left w:val="none" w:sz="0" w:space="0" w:color="auto"/>
        <w:bottom w:val="none" w:sz="0" w:space="0" w:color="auto"/>
        <w:right w:val="none" w:sz="0" w:space="0" w:color="auto"/>
      </w:divBdr>
    </w:div>
    <w:div w:id="89814760">
      <w:bodyDiv w:val="1"/>
      <w:marLeft w:val="0"/>
      <w:marRight w:val="0"/>
      <w:marTop w:val="0"/>
      <w:marBottom w:val="0"/>
      <w:divBdr>
        <w:top w:val="none" w:sz="0" w:space="0" w:color="auto"/>
        <w:left w:val="none" w:sz="0" w:space="0" w:color="auto"/>
        <w:bottom w:val="none" w:sz="0" w:space="0" w:color="auto"/>
        <w:right w:val="none" w:sz="0" w:space="0" w:color="auto"/>
      </w:divBdr>
    </w:div>
    <w:div w:id="116532436">
      <w:bodyDiv w:val="1"/>
      <w:marLeft w:val="0"/>
      <w:marRight w:val="0"/>
      <w:marTop w:val="0"/>
      <w:marBottom w:val="0"/>
      <w:divBdr>
        <w:top w:val="none" w:sz="0" w:space="0" w:color="auto"/>
        <w:left w:val="none" w:sz="0" w:space="0" w:color="auto"/>
        <w:bottom w:val="none" w:sz="0" w:space="0" w:color="auto"/>
        <w:right w:val="none" w:sz="0" w:space="0" w:color="auto"/>
      </w:divBdr>
    </w:div>
    <w:div w:id="124006470">
      <w:bodyDiv w:val="1"/>
      <w:marLeft w:val="0"/>
      <w:marRight w:val="0"/>
      <w:marTop w:val="0"/>
      <w:marBottom w:val="0"/>
      <w:divBdr>
        <w:top w:val="none" w:sz="0" w:space="0" w:color="auto"/>
        <w:left w:val="none" w:sz="0" w:space="0" w:color="auto"/>
        <w:bottom w:val="none" w:sz="0" w:space="0" w:color="auto"/>
        <w:right w:val="none" w:sz="0" w:space="0" w:color="auto"/>
      </w:divBdr>
    </w:div>
    <w:div w:id="155995327">
      <w:bodyDiv w:val="1"/>
      <w:marLeft w:val="0"/>
      <w:marRight w:val="0"/>
      <w:marTop w:val="0"/>
      <w:marBottom w:val="0"/>
      <w:divBdr>
        <w:top w:val="none" w:sz="0" w:space="0" w:color="auto"/>
        <w:left w:val="none" w:sz="0" w:space="0" w:color="auto"/>
        <w:bottom w:val="none" w:sz="0" w:space="0" w:color="auto"/>
        <w:right w:val="none" w:sz="0" w:space="0" w:color="auto"/>
      </w:divBdr>
    </w:div>
    <w:div w:id="209464951">
      <w:bodyDiv w:val="1"/>
      <w:marLeft w:val="0"/>
      <w:marRight w:val="0"/>
      <w:marTop w:val="0"/>
      <w:marBottom w:val="0"/>
      <w:divBdr>
        <w:top w:val="none" w:sz="0" w:space="0" w:color="auto"/>
        <w:left w:val="none" w:sz="0" w:space="0" w:color="auto"/>
        <w:bottom w:val="none" w:sz="0" w:space="0" w:color="auto"/>
        <w:right w:val="none" w:sz="0" w:space="0" w:color="auto"/>
      </w:divBdr>
    </w:div>
    <w:div w:id="229581495">
      <w:bodyDiv w:val="1"/>
      <w:marLeft w:val="0"/>
      <w:marRight w:val="0"/>
      <w:marTop w:val="0"/>
      <w:marBottom w:val="0"/>
      <w:divBdr>
        <w:top w:val="none" w:sz="0" w:space="0" w:color="auto"/>
        <w:left w:val="none" w:sz="0" w:space="0" w:color="auto"/>
        <w:bottom w:val="none" w:sz="0" w:space="0" w:color="auto"/>
        <w:right w:val="none" w:sz="0" w:space="0" w:color="auto"/>
      </w:divBdr>
    </w:div>
    <w:div w:id="241842172">
      <w:bodyDiv w:val="1"/>
      <w:marLeft w:val="0"/>
      <w:marRight w:val="0"/>
      <w:marTop w:val="0"/>
      <w:marBottom w:val="0"/>
      <w:divBdr>
        <w:top w:val="none" w:sz="0" w:space="0" w:color="auto"/>
        <w:left w:val="none" w:sz="0" w:space="0" w:color="auto"/>
        <w:bottom w:val="none" w:sz="0" w:space="0" w:color="auto"/>
        <w:right w:val="none" w:sz="0" w:space="0" w:color="auto"/>
      </w:divBdr>
      <w:divsChild>
        <w:div w:id="73937233">
          <w:marLeft w:val="0"/>
          <w:marRight w:val="0"/>
          <w:marTop w:val="0"/>
          <w:marBottom w:val="240"/>
          <w:divBdr>
            <w:top w:val="none" w:sz="0" w:space="0" w:color="auto"/>
            <w:left w:val="none" w:sz="0" w:space="0" w:color="auto"/>
            <w:bottom w:val="none" w:sz="0" w:space="0" w:color="auto"/>
            <w:right w:val="none" w:sz="0" w:space="0" w:color="auto"/>
          </w:divBdr>
        </w:div>
        <w:div w:id="236016994">
          <w:marLeft w:val="0"/>
          <w:marRight w:val="0"/>
          <w:marTop w:val="0"/>
          <w:marBottom w:val="240"/>
          <w:divBdr>
            <w:top w:val="none" w:sz="0" w:space="0" w:color="auto"/>
            <w:left w:val="none" w:sz="0" w:space="0" w:color="auto"/>
            <w:bottom w:val="none" w:sz="0" w:space="0" w:color="auto"/>
            <w:right w:val="none" w:sz="0" w:space="0" w:color="auto"/>
          </w:divBdr>
        </w:div>
        <w:div w:id="1120957942">
          <w:marLeft w:val="0"/>
          <w:marRight w:val="0"/>
          <w:marTop w:val="0"/>
          <w:marBottom w:val="240"/>
          <w:divBdr>
            <w:top w:val="none" w:sz="0" w:space="0" w:color="auto"/>
            <w:left w:val="none" w:sz="0" w:space="0" w:color="auto"/>
            <w:bottom w:val="none" w:sz="0" w:space="0" w:color="auto"/>
            <w:right w:val="none" w:sz="0" w:space="0" w:color="auto"/>
          </w:divBdr>
        </w:div>
      </w:divsChild>
    </w:div>
    <w:div w:id="243271292">
      <w:bodyDiv w:val="1"/>
      <w:marLeft w:val="0"/>
      <w:marRight w:val="0"/>
      <w:marTop w:val="0"/>
      <w:marBottom w:val="0"/>
      <w:divBdr>
        <w:top w:val="none" w:sz="0" w:space="0" w:color="auto"/>
        <w:left w:val="none" w:sz="0" w:space="0" w:color="auto"/>
        <w:bottom w:val="none" w:sz="0" w:space="0" w:color="auto"/>
        <w:right w:val="none" w:sz="0" w:space="0" w:color="auto"/>
      </w:divBdr>
    </w:div>
    <w:div w:id="261761688">
      <w:bodyDiv w:val="1"/>
      <w:marLeft w:val="0"/>
      <w:marRight w:val="0"/>
      <w:marTop w:val="0"/>
      <w:marBottom w:val="0"/>
      <w:divBdr>
        <w:top w:val="none" w:sz="0" w:space="0" w:color="auto"/>
        <w:left w:val="none" w:sz="0" w:space="0" w:color="auto"/>
        <w:bottom w:val="none" w:sz="0" w:space="0" w:color="auto"/>
        <w:right w:val="none" w:sz="0" w:space="0" w:color="auto"/>
      </w:divBdr>
    </w:div>
    <w:div w:id="263271532">
      <w:bodyDiv w:val="1"/>
      <w:marLeft w:val="0"/>
      <w:marRight w:val="0"/>
      <w:marTop w:val="0"/>
      <w:marBottom w:val="0"/>
      <w:divBdr>
        <w:top w:val="none" w:sz="0" w:space="0" w:color="auto"/>
        <w:left w:val="none" w:sz="0" w:space="0" w:color="auto"/>
        <w:bottom w:val="none" w:sz="0" w:space="0" w:color="auto"/>
        <w:right w:val="none" w:sz="0" w:space="0" w:color="auto"/>
      </w:divBdr>
    </w:div>
    <w:div w:id="271714083">
      <w:bodyDiv w:val="1"/>
      <w:marLeft w:val="0"/>
      <w:marRight w:val="0"/>
      <w:marTop w:val="0"/>
      <w:marBottom w:val="0"/>
      <w:divBdr>
        <w:top w:val="none" w:sz="0" w:space="0" w:color="auto"/>
        <w:left w:val="none" w:sz="0" w:space="0" w:color="auto"/>
        <w:bottom w:val="none" w:sz="0" w:space="0" w:color="auto"/>
        <w:right w:val="none" w:sz="0" w:space="0" w:color="auto"/>
      </w:divBdr>
    </w:div>
    <w:div w:id="291711099">
      <w:bodyDiv w:val="1"/>
      <w:marLeft w:val="0"/>
      <w:marRight w:val="0"/>
      <w:marTop w:val="0"/>
      <w:marBottom w:val="0"/>
      <w:divBdr>
        <w:top w:val="none" w:sz="0" w:space="0" w:color="auto"/>
        <w:left w:val="none" w:sz="0" w:space="0" w:color="auto"/>
        <w:bottom w:val="none" w:sz="0" w:space="0" w:color="auto"/>
        <w:right w:val="none" w:sz="0" w:space="0" w:color="auto"/>
      </w:divBdr>
    </w:div>
    <w:div w:id="301889555">
      <w:bodyDiv w:val="1"/>
      <w:marLeft w:val="0"/>
      <w:marRight w:val="0"/>
      <w:marTop w:val="0"/>
      <w:marBottom w:val="0"/>
      <w:divBdr>
        <w:top w:val="none" w:sz="0" w:space="0" w:color="auto"/>
        <w:left w:val="none" w:sz="0" w:space="0" w:color="auto"/>
        <w:bottom w:val="none" w:sz="0" w:space="0" w:color="auto"/>
        <w:right w:val="none" w:sz="0" w:space="0" w:color="auto"/>
      </w:divBdr>
    </w:div>
    <w:div w:id="314380440">
      <w:bodyDiv w:val="1"/>
      <w:marLeft w:val="0"/>
      <w:marRight w:val="0"/>
      <w:marTop w:val="0"/>
      <w:marBottom w:val="0"/>
      <w:divBdr>
        <w:top w:val="none" w:sz="0" w:space="0" w:color="auto"/>
        <w:left w:val="none" w:sz="0" w:space="0" w:color="auto"/>
        <w:bottom w:val="none" w:sz="0" w:space="0" w:color="auto"/>
        <w:right w:val="none" w:sz="0" w:space="0" w:color="auto"/>
      </w:divBdr>
    </w:div>
    <w:div w:id="333412378">
      <w:bodyDiv w:val="1"/>
      <w:marLeft w:val="0"/>
      <w:marRight w:val="0"/>
      <w:marTop w:val="0"/>
      <w:marBottom w:val="0"/>
      <w:divBdr>
        <w:top w:val="none" w:sz="0" w:space="0" w:color="auto"/>
        <w:left w:val="none" w:sz="0" w:space="0" w:color="auto"/>
        <w:bottom w:val="none" w:sz="0" w:space="0" w:color="auto"/>
        <w:right w:val="none" w:sz="0" w:space="0" w:color="auto"/>
      </w:divBdr>
    </w:div>
    <w:div w:id="344719847">
      <w:bodyDiv w:val="1"/>
      <w:marLeft w:val="0"/>
      <w:marRight w:val="0"/>
      <w:marTop w:val="0"/>
      <w:marBottom w:val="0"/>
      <w:divBdr>
        <w:top w:val="none" w:sz="0" w:space="0" w:color="auto"/>
        <w:left w:val="none" w:sz="0" w:space="0" w:color="auto"/>
        <w:bottom w:val="none" w:sz="0" w:space="0" w:color="auto"/>
        <w:right w:val="none" w:sz="0" w:space="0" w:color="auto"/>
      </w:divBdr>
    </w:div>
    <w:div w:id="363822210">
      <w:bodyDiv w:val="1"/>
      <w:marLeft w:val="0"/>
      <w:marRight w:val="0"/>
      <w:marTop w:val="0"/>
      <w:marBottom w:val="0"/>
      <w:divBdr>
        <w:top w:val="none" w:sz="0" w:space="0" w:color="auto"/>
        <w:left w:val="none" w:sz="0" w:space="0" w:color="auto"/>
        <w:bottom w:val="none" w:sz="0" w:space="0" w:color="auto"/>
        <w:right w:val="none" w:sz="0" w:space="0" w:color="auto"/>
      </w:divBdr>
    </w:div>
    <w:div w:id="397365567">
      <w:bodyDiv w:val="1"/>
      <w:marLeft w:val="0"/>
      <w:marRight w:val="0"/>
      <w:marTop w:val="0"/>
      <w:marBottom w:val="0"/>
      <w:divBdr>
        <w:top w:val="none" w:sz="0" w:space="0" w:color="auto"/>
        <w:left w:val="none" w:sz="0" w:space="0" w:color="auto"/>
        <w:bottom w:val="none" w:sz="0" w:space="0" w:color="auto"/>
        <w:right w:val="none" w:sz="0" w:space="0" w:color="auto"/>
      </w:divBdr>
    </w:div>
    <w:div w:id="399906524">
      <w:bodyDiv w:val="1"/>
      <w:marLeft w:val="0"/>
      <w:marRight w:val="0"/>
      <w:marTop w:val="0"/>
      <w:marBottom w:val="0"/>
      <w:divBdr>
        <w:top w:val="none" w:sz="0" w:space="0" w:color="auto"/>
        <w:left w:val="none" w:sz="0" w:space="0" w:color="auto"/>
        <w:bottom w:val="none" w:sz="0" w:space="0" w:color="auto"/>
        <w:right w:val="none" w:sz="0" w:space="0" w:color="auto"/>
      </w:divBdr>
    </w:div>
    <w:div w:id="403575852">
      <w:bodyDiv w:val="1"/>
      <w:marLeft w:val="0"/>
      <w:marRight w:val="0"/>
      <w:marTop w:val="0"/>
      <w:marBottom w:val="0"/>
      <w:divBdr>
        <w:top w:val="none" w:sz="0" w:space="0" w:color="auto"/>
        <w:left w:val="none" w:sz="0" w:space="0" w:color="auto"/>
        <w:bottom w:val="none" w:sz="0" w:space="0" w:color="auto"/>
        <w:right w:val="none" w:sz="0" w:space="0" w:color="auto"/>
      </w:divBdr>
    </w:div>
    <w:div w:id="431123982">
      <w:bodyDiv w:val="1"/>
      <w:marLeft w:val="0"/>
      <w:marRight w:val="0"/>
      <w:marTop w:val="0"/>
      <w:marBottom w:val="0"/>
      <w:divBdr>
        <w:top w:val="none" w:sz="0" w:space="0" w:color="auto"/>
        <w:left w:val="none" w:sz="0" w:space="0" w:color="auto"/>
        <w:bottom w:val="none" w:sz="0" w:space="0" w:color="auto"/>
        <w:right w:val="none" w:sz="0" w:space="0" w:color="auto"/>
      </w:divBdr>
      <w:divsChild>
        <w:div w:id="127357402">
          <w:marLeft w:val="0"/>
          <w:marRight w:val="0"/>
          <w:marTop w:val="0"/>
          <w:marBottom w:val="240"/>
          <w:divBdr>
            <w:top w:val="none" w:sz="0" w:space="0" w:color="auto"/>
            <w:left w:val="none" w:sz="0" w:space="0" w:color="auto"/>
            <w:bottom w:val="none" w:sz="0" w:space="0" w:color="auto"/>
            <w:right w:val="none" w:sz="0" w:space="0" w:color="auto"/>
          </w:divBdr>
        </w:div>
        <w:div w:id="699478930">
          <w:marLeft w:val="0"/>
          <w:marRight w:val="0"/>
          <w:marTop w:val="0"/>
          <w:marBottom w:val="240"/>
          <w:divBdr>
            <w:top w:val="none" w:sz="0" w:space="0" w:color="auto"/>
            <w:left w:val="none" w:sz="0" w:space="0" w:color="auto"/>
            <w:bottom w:val="none" w:sz="0" w:space="0" w:color="auto"/>
            <w:right w:val="none" w:sz="0" w:space="0" w:color="auto"/>
          </w:divBdr>
        </w:div>
        <w:div w:id="743720228">
          <w:marLeft w:val="0"/>
          <w:marRight w:val="0"/>
          <w:marTop w:val="0"/>
          <w:marBottom w:val="240"/>
          <w:divBdr>
            <w:top w:val="none" w:sz="0" w:space="0" w:color="auto"/>
            <w:left w:val="none" w:sz="0" w:space="0" w:color="auto"/>
            <w:bottom w:val="none" w:sz="0" w:space="0" w:color="auto"/>
            <w:right w:val="none" w:sz="0" w:space="0" w:color="auto"/>
          </w:divBdr>
        </w:div>
        <w:div w:id="2111049763">
          <w:marLeft w:val="0"/>
          <w:marRight w:val="0"/>
          <w:marTop w:val="0"/>
          <w:marBottom w:val="240"/>
          <w:divBdr>
            <w:top w:val="none" w:sz="0" w:space="0" w:color="auto"/>
            <w:left w:val="none" w:sz="0" w:space="0" w:color="auto"/>
            <w:bottom w:val="none" w:sz="0" w:space="0" w:color="auto"/>
            <w:right w:val="none" w:sz="0" w:space="0" w:color="auto"/>
          </w:divBdr>
        </w:div>
      </w:divsChild>
    </w:div>
    <w:div w:id="454375105">
      <w:bodyDiv w:val="1"/>
      <w:marLeft w:val="0"/>
      <w:marRight w:val="0"/>
      <w:marTop w:val="0"/>
      <w:marBottom w:val="0"/>
      <w:divBdr>
        <w:top w:val="none" w:sz="0" w:space="0" w:color="auto"/>
        <w:left w:val="none" w:sz="0" w:space="0" w:color="auto"/>
        <w:bottom w:val="none" w:sz="0" w:space="0" w:color="auto"/>
        <w:right w:val="none" w:sz="0" w:space="0" w:color="auto"/>
      </w:divBdr>
    </w:div>
    <w:div w:id="461728261">
      <w:bodyDiv w:val="1"/>
      <w:marLeft w:val="0"/>
      <w:marRight w:val="0"/>
      <w:marTop w:val="0"/>
      <w:marBottom w:val="0"/>
      <w:divBdr>
        <w:top w:val="none" w:sz="0" w:space="0" w:color="auto"/>
        <w:left w:val="none" w:sz="0" w:space="0" w:color="auto"/>
        <w:bottom w:val="none" w:sz="0" w:space="0" w:color="auto"/>
        <w:right w:val="none" w:sz="0" w:space="0" w:color="auto"/>
      </w:divBdr>
    </w:div>
    <w:div w:id="572814888">
      <w:bodyDiv w:val="1"/>
      <w:marLeft w:val="0"/>
      <w:marRight w:val="0"/>
      <w:marTop w:val="0"/>
      <w:marBottom w:val="0"/>
      <w:divBdr>
        <w:top w:val="none" w:sz="0" w:space="0" w:color="auto"/>
        <w:left w:val="none" w:sz="0" w:space="0" w:color="auto"/>
        <w:bottom w:val="none" w:sz="0" w:space="0" w:color="auto"/>
        <w:right w:val="none" w:sz="0" w:space="0" w:color="auto"/>
      </w:divBdr>
    </w:div>
    <w:div w:id="598879546">
      <w:bodyDiv w:val="1"/>
      <w:marLeft w:val="0"/>
      <w:marRight w:val="0"/>
      <w:marTop w:val="0"/>
      <w:marBottom w:val="0"/>
      <w:divBdr>
        <w:top w:val="none" w:sz="0" w:space="0" w:color="auto"/>
        <w:left w:val="none" w:sz="0" w:space="0" w:color="auto"/>
        <w:bottom w:val="none" w:sz="0" w:space="0" w:color="auto"/>
        <w:right w:val="none" w:sz="0" w:space="0" w:color="auto"/>
      </w:divBdr>
    </w:div>
    <w:div w:id="627711711">
      <w:bodyDiv w:val="1"/>
      <w:marLeft w:val="0"/>
      <w:marRight w:val="0"/>
      <w:marTop w:val="0"/>
      <w:marBottom w:val="0"/>
      <w:divBdr>
        <w:top w:val="none" w:sz="0" w:space="0" w:color="auto"/>
        <w:left w:val="none" w:sz="0" w:space="0" w:color="auto"/>
        <w:bottom w:val="none" w:sz="0" w:space="0" w:color="auto"/>
        <w:right w:val="none" w:sz="0" w:space="0" w:color="auto"/>
      </w:divBdr>
    </w:div>
    <w:div w:id="655492436">
      <w:bodyDiv w:val="1"/>
      <w:marLeft w:val="0"/>
      <w:marRight w:val="0"/>
      <w:marTop w:val="0"/>
      <w:marBottom w:val="0"/>
      <w:divBdr>
        <w:top w:val="none" w:sz="0" w:space="0" w:color="auto"/>
        <w:left w:val="none" w:sz="0" w:space="0" w:color="auto"/>
        <w:bottom w:val="none" w:sz="0" w:space="0" w:color="auto"/>
        <w:right w:val="none" w:sz="0" w:space="0" w:color="auto"/>
      </w:divBdr>
    </w:div>
    <w:div w:id="703212384">
      <w:bodyDiv w:val="1"/>
      <w:marLeft w:val="0"/>
      <w:marRight w:val="0"/>
      <w:marTop w:val="0"/>
      <w:marBottom w:val="0"/>
      <w:divBdr>
        <w:top w:val="none" w:sz="0" w:space="0" w:color="auto"/>
        <w:left w:val="none" w:sz="0" w:space="0" w:color="auto"/>
        <w:bottom w:val="none" w:sz="0" w:space="0" w:color="auto"/>
        <w:right w:val="none" w:sz="0" w:space="0" w:color="auto"/>
      </w:divBdr>
    </w:div>
    <w:div w:id="772628113">
      <w:bodyDiv w:val="1"/>
      <w:marLeft w:val="0"/>
      <w:marRight w:val="0"/>
      <w:marTop w:val="0"/>
      <w:marBottom w:val="0"/>
      <w:divBdr>
        <w:top w:val="none" w:sz="0" w:space="0" w:color="auto"/>
        <w:left w:val="none" w:sz="0" w:space="0" w:color="auto"/>
        <w:bottom w:val="none" w:sz="0" w:space="0" w:color="auto"/>
        <w:right w:val="none" w:sz="0" w:space="0" w:color="auto"/>
      </w:divBdr>
    </w:div>
    <w:div w:id="812604644">
      <w:bodyDiv w:val="1"/>
      <w:marLeft w:val="0"/>
      <w:marRight w:val="0"/>
      <w:marTop w:val="0"/>
      <w:marBottom w:val="0"/>
      <w:divBdr>
        <w:top w:val="none" w:sz="0" w:space="0" w:color="auto"/>
        <w:left w:val="none" w:sz="0" w:space="0" w:color="auto"/>
        <w:bottom w:val="none" w:sz="0" w:space="0" w:color="auto"/>
        <w:right w:val="none" w:sz="0" w:space="0" w:color="auto"/>
      </w:divBdr>
    </w:div>
    <w:div w:id="815603995">
      <w:bodyDiv w:val="1"/>
      <w:marLeft w:val="0"/>
      <w:marRight w:val="0"/>
      <w:marTop w:val="0"/>
      <w:marBottom w:val="0"/>
      <w:divBdr>
        <w:top w:val="none" w:sz="0" w:space="0" w:color="auto"/>
        <w:left w:val="none" w:sz="0" w:space="0" w:color="auto"/>
        <w:bottom w:val="none" w:sz="0" w:space="0" w:color="auto"/>
        <w:right w:val="none" w:sz="0" w:space="0" w:color="auto"/>
      </w:divBdr>
    </w:div>
    <w:div w:id="830828474">
      <w:bodyDiv w:val="1"/>
      <w:marLeft w:val="0"/>
      <w:marRight w:val="0"/>
      <w:marTop w:val="0"/>
      <w:marBottom w:val="0"/>
      <w:divBdr>
        <w:top w:val="none" w:sz="0" w:space="0" w:color="auto"/>
        <w:left w:val="none" w:sz="0" w:space="0" w:color="auto"/>
        <w:bottom w:val="none" w:sz="0" w:space="0" w:color="auto"/>
        <w:right w:val="none" w:sz="0" w:space="0" w:color="auto"/>
      </w:divBdr>
    </w:div>
    <w:div w:id="875430432">
      <w:bodyDiv w:val="1"/>
      <w:marLeft w:val="0"/>
      <w:marRight w:val="0"/>
      <w:marTop w:val="0"/>
      <w:marBottom w:val="0"/>
      <w:divBdr>
        <w:top w:val="none" w:sz="0" w:space="0" w:color="auto"/>
        <w:left w:val="none" w:sz="0" w:space="0" w:color="auto"/>
        <w:bottom w:val="none" w:sz="0" w:space="0" w:color="auto"/>
        <w:right w:val="none" w:sz="0" w:space="0" w:color="auto"/>
      </w:divBdr>
    </w:div>
    <w:div w:id="880239975">
      <w:bodyDiv w:val="1"/>
      <w:marLeft w:val="0"/>
      <w:marRight w:val="0"/>
      <w:marTop w:val="0"/>
      <w:marBottom w:val="0"/>
      <w:divBdr>
        <w:top w:val="none" w:sz="0" w:space="0" w:color="auto"/>
        <w:left w:val="none" w:sz="0" w:space="0" w:color="auto"/>
        <w:bottom w:val="none" w:sz="0" w:space="0" w:color="auto"/>
        <w:right w:val="none" w:sz="0" w:space="0" w:color="auto"/>
      </w:divBdr>
      <w:divsChild>
        <w:div w:id="39400626">
          <w:marLeft w:val="0"/>
          <w:marRight w:val="0"/>
          <w:marTop w:val="0"/>
          <w:marBottom w:val="240"/>
          <w:divBdr>
            <w:top w:val="none" w:sz="0" w:space="0" w:color="auto"/>
            <w:left w:val="none" w:sz="0" w:space="0" w:color="auto"/>
            <w:bottom w:val="none" w:sz="0" w:space="0" w:color="auto"/>
            <w:right w:val="none" w:sz="0" w:space="0" w:color="auto"/>
          </w:divBdr>
        </w:div>
        <w:div w:id="234822564">
          <w:marLeft w:val="0"/>
          <w:marRight w:val="0"/>
          <w:marTop w:val="0"/>
          <w:marBottom w:val="240"/>
          <w:divBdr>
            <w:top w:val="none" w:sz="0" w:space="0" w:color="auto"/>
            <w:left w:val="none" w:sz="0" w:space="0" w:color="auto"/>
            <w:bottom w:val="none" w:sz="0" w:space="0" w:color="auto"/>
            <w:right w:val="none" w:sz="0" w:space="0" w:color="auto"/>
          </w:divBdr>
        </w:div>
        <w:div w:id="1628587807">
          <w:marLeft w:val="0"/>
          <w:marRight w:val="0"/>
          <w:marTop w:val="0"/>
          <w:marBottom w:val="240"/>
          <w:divBdr>
            <w:top w:val="none" w:sz="0" w:space="0" w:color="auto"/>
            <w:left w:val="none" w:sz="0" w:space="0" w:color="auto"/>
            <w:bottom w:val="none" w:sz="0" w:space="0" w:color="auto"/>
            <w:right w:val="none" w:sz="0" w:space="0" w:color="auto"/>
          </w:divBdr>
        </w:div>
      </w:divsChild>
    </w:div>
    <w:div w:id="902527103">
      <w:bodyDiv w:val="1"/>
      <w:marLeft w:val="0"/>
      <w:marRight w:val="0"/>
      <w:marTop w:val="0"/>
      <w:marBottom w:val="0"/>
      <w:divBdr>
        <w:top w:val="none" w:sz="0" w:space="0" w:color="auto"/>
        <w:left w:val="none" w:sz="0" w:space="0" w:color="auto"/>
        <w:bottom w:val="none" w:sz="0" w:space="0" w:color="auto"/>
        <w:right w:val="none" w:sz="0" w:space="0" w:color="auto"/>
      </w:divBdr>
    </w:div>
    <w:div w:id="919876438">
      <w:bodyDiv w:val="1"/>
      <w:marLeft w:val="0"/>
      <w:marRight w:val="0"/>
      <w:marTop w:val="0"/>
      <w:marBottom w:val="0"/>
      <w:divBdr>
        <w:top w:val="none" w:sz="0" w:space="0" w:color="auto"/>
        <w:left w:val="none" w:sz="0" w:space="0" w:color="auto"/>
        <w:bottom w:val="none" w:sz="0" w:space="0" w:color="auto"/>
        <w:right w:val="none" w:sz="0" w:space="0" w:color="auto"/>
      </w:divBdr>
    </w:div>
    <w:div w:id="928267795">
      <w:bodyDiv w:val="1"/>
      <w:marLeft w:val="0"/>
      <w:marRight w:val="0"/>
      <w:marTop w:val="0"/>
      <w:marBottom w:val="0"/>
      <w:divBdr>
        <w:top w:val="none" w:sz="0" w:space="0" w:color="auto"/>
        <w:left w:val="none" w:sz="0" w:space="0" w:color="auto"/>
        <w:bottom w:val="none" w:sz="0" w:space="0" w:color="auto"/>
        <w:right w:val="none" w:sz="0" w:space="0" w:color="auto"/>
      </w:divBdr>
    </w:div>
    <w:div w:id="929855712">
      <w:bodyDiv w:val="1"/>
      <w:marLeft w:val="0"/>
      <w:marRight w:val="0"/>
      <w:marTop w:val="0"/>
      <w:marBottom w:val="0"/>
      <w:divBdr>
        <w:top w:val="none" w:sz="0" w:space="0" w:color="auto"/>
        <w:left w:val="none" w:sz="0" w:space="0" w:color="auto"/>
        <w:bottom w:val="none" w:sz="0" w:space="0" w:color="auto"/>
        <w:right w:val="none" w:sz="0" w:space="0" w:color="auto"/>
      </w:divBdr>
    </w:div>
    <w:div w:id="943534474">
      <w:bodyDiv w:val="1"/>
      <w:marLeft w:val="0"/>
      <w:marRight w:val="0"/>
      <w:marTop w:val="0"/>
      <w:marBottom w:val="0"/>
      <w:divBdr>
        <w:top w:val="none" w:sz="0" w:space="0" w:color="auto"/>
        <w:left w:val="none" w:sz="0" w:space="0" w:color="auto"/>
        <w:bottom w:val="none" w:sz="0" w:space="0" w:color="auto"/>
        <w:right w:val="none" w:sz="0" w:space="0" w:color="auto"/>
      </w:divBdr>
      <w:divsChild>
        <w:div w:id="836649891">
          <w:marLeft w:val="0"/>
          <w:marRight w:val="0"/>
          <w:marTop w:val="0"/>
          <w:marBottom w:val="240"/>
          <w:divBdr>
            <w:top w:val="none" w:sz="0" w:space="0" w:color="auto"/>
            <w:left w:val="none" w:sz="0" w:space="0" w:color="auto"/>
            <w:bottom w:val="none" w:sz="0" w:space="0" w:color="auto"/>
            <w:right w:val="none" w:sz="0" w:space="0" w:color="auto"/>
          </w:divBdr>
        </w:div>
        <w:div w:id="1895002044">
          <w:marLeft w:val="0"/>
          <w:marRight w:val="0"/>
          <w:marTop w:val="0"/>
          <w:marBottom w:val="240"/>
          <w:divBdr>
            <w:top w:val="none" w:sz="0" w:space="0" w:color="auto"/>
            <w:left w:val="none" w:sz="0" w:space="0" w:color="auto"/>
            <w:bottom w:val="none" w:sz="0" w:space="0" w:color="auto"/>
            <w:right w:val="none" w:sz="0" w:space="0" w:color="auto"/>
          </w:divBdr>
        </w:div>
      </w:divsChild>
    </w:div>
    <w:div w:id="963581847">
      <w:bodyDiv w:val="1"/>
      <w:marLeft w:val="0"/>
      <w:marRight w:val="0"/>
      <w:marTop w:val="0"/>
      <w:marBottom w:val="0"/>
      <w:divBdr>
        <w:top w:val="none" w:sz="0" w:space="0" w:color="auto"/>
        <w:left w:val="none" w:sz="0" w:space="0" w:color="auto"/>
        <w:bottom w:val="none" w:sz="0" w:space="0" w:color="auto"/>
        <w:right w:val="none" w:sz="0" w:space="0" w:color="auto"/>
      </w:divBdr>
    </w:div>
    <w:div w:id="972364525">
      <w:bodyDiv w:val="1"/>
      <w:marLeft w:val="0"/>
      <w:marRight w:val="0"/>
      <w:marTop w:val="0"/>
      <w:marBottom w:val="0"/>
      <w:divBdr>
        <w:top w:val="none" w:sz="0" w:space="0" w:color="auto"/>
        <w:left w:val="none" w:sz="0" w:space="0" w:color="auto"/>
        <w:bottom w:val="none" w:sz="0" w:space="0" w:color="auto"/>
        <w:right w:val="none" w:sz="0" w:space="0" w:color="auto"/>
      </w:divBdr>
      <w:divsChild>
        <w:div w:id="716004945">
          <w:marLeft w:val="0"/>
          <w:marRight w:val="0"/>
          <w:marTop w:val="0"/>
          <w:marBottom w:val="0"/>
          <w:divBdr>
            <w:top w:val="none" w:sz="0" w:space="0" w:color="auto"/>
            <w:left w:val="none" w:sz="0" w:space="0" w:color="auto"/>
            <w:bottom w:val="none" w:sz="0" w:space="0" w:color="auto"/>
            <w:right w:val="none" w:sz="0" w:space="0" w:color="auto"/>
          </w:divBdr>
          <w:divsChild>
            <w:div w:id="1255675076">
              <w:marLeft w:val="0"/>
              <w:marRight w:val="0"/>
              <w:marTop w:val="0"/>
              <w:marBottom w:val="0"/>
              <w:divBdr>
                <w:top w:val="none" w:sz="0" w:space="0" w:color="auto"/>
                <w:left w:val="none" w:sz="0" w:space="0" w:color="auto"/>
                <w:bottom w:val="none" w:sz="0" w:space="0" w:color="auto"/>
                <w:right w:val="none" w:sz="0" w:space="0" w:color="auto"/>
              </w:divBdr>
            </w:div>
          </w:divsChild>
        </w:div>
        <w:div w:id="2104954052">
          <w:marLeft w:val="0"/>
          <w:marRight w:val="0"/>
          <w:marTop w:val="0"/>
          <w:marBottom w:val="0"/>
          <w:divBdr>
            <w:top w:val="none" w:sz="0" w:space="0" w:color="auto"/>
            <w:left w:val="none" w:sz="0" w:space="0" w:color="auto"/>
            <w:bottom w:val="none" w:sz="0" w:space="0" w:color="auto"/>
            <w:right w:val="none" w:sz="0" w:space="0" w:color="auto"/>
          </w:divBdr>
          <w:divsChild>
            <w:div w:id="838928645">
              <w:marLeft w:val="0"/>
              <w:marRight w:val="0"/>
              <w:marTop w:val="0"/>
              <w:marBottom w:val="0"/>
              <w:divBdr>
                <w:top w:val="none" w:sz="0" w:space="0" w:color="auto"/>
                <w:left w:val="none" w:sz="0" w:space="0" w:color="auto"/>
                <w:bottom w:val="none" w:sz="0" w:space="0" w:color="auto"/>
                <w:right w:val="none" w:sz="0" w:space="0" w:color="auto"/>
              </w:divBdr>
              <w:divsChild>
                <w:div w:id="1424838996">
                  <w:marLeft w:val="0"/>
                  <w:marRight w:val="0"/>
                  <w:marTop w:val="0"/>
                  <w:marBottom w:val="0"/>
                  <w:divBdr>
                    <w:top w:val="none" w:sz="0" w:space="0" w:color="auto"/>
                    <w:left w:val="none" w:sz="0" w:space="0" w:color="auto"/>
                    <w:bottom w:val="none" w:sz="0" w:space="0" w:color="auto"/>
                    <w:right w:val="none" w:sz="0" w:space="0" w:color="auto"/>
                  </w:divBdr>
                  <w:divsChild>
                    <w:div w:id="1664703033">
                      <w:marLeft w:val="0"/>
                      <w:marRight w:val="0"/>
                      <w:marTop w:val="0"/>
                      <w:marBottom w:val="0"/>
                      <w:divBdr>
                        <w:top w:val="none" w:sz="0" w:space="0" w:color="auto"/>
                        <w:left w:val="none" w:sz="0" w:space="0" w:color="auto"/>
                        <w:bottom w:val="none" w:sz="0" w:space="0" w:color="auto"/>
                        <w:right w:val="none" w:sz="0" w:space="0" w:color="auto"/>
                      </w:divBdr>
                      <w:divsChild>
                        <w:div w:id="20124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7952">
      <w:bodyDiv w:val="1"/>
      <w:marLeft w:val="0"/>
      <w:marRight w:val="0"/>
      <w:marTop w:val="0"/>
      <w:marBottom w:val="0"/>
      <w:divBdr>
        <w:top w:val="none" w:sz="0" w:space="0" w:color="auto"/>
        <w:left w:val="none" w:sz="0" w:space="0" w:color="auto"/>
        <w:bottom w:val="none" w:sz="0" w:space="0" w:color="auto"/>
        <w:right w:val="none" w:sz="0" w:space="0" w:color="auto"/>
      </w:divBdr>
    </w:div>
    <w:div w:id="1008337604">
      <w:bodyDiv w:val="1"/>
      <w:marLeft w:val="0"/>
      <w:marRight w:val="0"/>
      <w:marTop w:val="0"/>
      <w:marBottom w:val="0"/>
      <w:divBdr>
        <w:top w:val="none" w:sz="0" w:space="0" w:color="auto"/>
        <w:left w:val="none" w:sz="0" w:space="0" w:color="auto"/>
        <w:bottom w:val="none" w:sz="0" w:space="0" w:color="auto"/>
        <w:right w:val="none" w:sz="0" w:space="0" w:color="auto"/>
      </w:divBdr>
    </w:div>
    <w:div w:id="1015034945">
      <w:bodyDiv w:val="1"/>
      <w:marLeft w:val="0"/>
      <w:marRight w:val="0"/>
      <w:marTop w:val="0"/>
      <w:marBottom w:val="0"/>
      <w:divBdr>
        <w:top w:val="none" w:sz="0" w:space="0" w:color="auto"/>
        <w:left w:val="none" w:sz="0" w:space="0" w:color="auto"/>
        <w:bottom w:val="none" w:sz="0" w:space="0" w:color="auto"/>
        <w:right w:val="none" w:sz="0" w:space="0" w:color="auto"/>
      </w:divBdr>
    </w:div>
    <w:div w:id="1068462143">
      <w:bodyDiv w:val="1"/>
      <w:marLeft w:val="0"/>
      <w:marRight w:val="0"/>
      <w:marTop w:val="0"/>
      <w:marBottom w:val="0"/>
      <w:divBdr>
        <w:top w:val="none" w:sz="0" w:space="0" w:color="auto"/>
        <w:left w:val="none" w:sz="0" w:space="0" w:color="auto"/>
        <w:bottom w:val="none" w:sz="0" w:space="0" w:color="auto"/>
        <w:right w:val="none" w:sz="0" w:space="0" w:color="auto"/>
      </w:divBdr>
    </w:div>
    <w:div w:id="1069422241">
      <w:bodyDiv w:val="1"/>
      <w:marLeft w:val="0"/>
      <w:marRight w:val="0"/>
      <w:marTop w:val="0"/>
      <w:marBottom w:val="0"/>
      <w:divBdr>
        <w:top w:val="none" w:sz="0" w:space="0" w:color="auto"/>
        <w:left w:val="none" w:sz="0" w:space="0" w:color="auto"/>
        <w:bottom w:val="none" w:sz="0" w:space="0" w:color="auto"/>
        <w:right w:val="none" w:sz="0" w:space="0" w:color="auto"/>
      </w:divBdr>
    </w:div>
    <w:div w:id="1103955855">
      <w:bodyDiv w:val="1"/>
      <w:marLeft w:val="0"/>
      <w:marRight w:val="0"/>
      <w:marTop w:val="0"/>
      <w:marBottom w:val="0"/>
      <w:divBdr>
        <w:top w:val="none" w:sz="0" w:space="0" w:color="auto"/>
        <w:left w:val="none" w:sz="0" w:space="0" w:color="auto"/>
        <w:bottom w:val="none" w:sz="0" w:space="0" w:color="auto"/>
        <w:right w:val="none" w:sz="0" w:space="0" w:color="auto"/>
      </w:divBdr>
    </w:div>
    <w:div w:id="1106584101">
      <w:bodyDiv w:val="1"/>
      <w:marLeft w:val="0"/>
      <w:marRight w:val="0"/>
      <w:marTop w:val="0"/>
      <w:marBottom w:val="0"/>
      <w:divBdr>
        <w:top w:val="none" w:sz="0" w:space="0" w:color="auto"/>
        <w:left w:val="none" w:sz="0" w:space="0" w:color="auto"/>
        <w:bottom w:val="none" w:sz="0" w:space="0" w:color="auto"/>
        <w:right w:val="none" w:sz="0" w:space="0" w:color="auto"/>
      </w:divBdr>
    </w:div>
    <w:div w:id="1107387008">
      <w:bodyDiv w:val="1"/>
      <w:marLeft w:val="0"/>
      <w:marRight w:val="0"/>
      <w:marTop w:val="0"/>
      <w:marBottom w:val="0"/>
      <w:divBdr>
        <w:top w:val="none" w:sz="0" w:space="0" w:color="auto"/>
        <w:left w:val="none" w:sz="0" w:space="0" w:color="auto"/>
        <w:bottom w:val="none" w:sz="0" w:space="0" w:color="auto"/>
        <w:right w:val="none" w:sz="0" w:space="0" w:color="auto"/>
      </w:divBdr>
    </w:div>
    <w:div w:id="1131358489">
      <w:bodyDiv w:val="1"/>
      <w:marLeft w:val="0"/>
      <w:marRight w:val="0"/>
      <w:marTop w:val="0"/>
      <w:marBottom w:val="0"/>
      <w:divBdr>
        <w:top w:val="none" w:sz="0" w:space="0" w:color="auto"/>
        <w:left w:val="none" w:sz="0" w:space="0" w:color="auto"/>
        <w:bottom w:val="none" w:sz="0" w:space="0" w:color="auto"/>
        <w:right w:val="none" w:sz="0" w:space="0" w:color="auto"/>
      </w:divBdr>
    </w:div>
    <w:div w:id="1197541179">
      <w:bodyDiv w:val="1"/>
      <w:marLeft w:val="0"/>
      <w:marRight w:val="0"/>
      <w:marTop w:val="0"/>
      <w:marBottom w:val="0"/>
      <w:divBdr>
        <w:top w:val="none" w:sz="0" w:space="0" w:color="auto"/>
        <w:left w:val="none" w:sz="0" w:space="0" w:color="auto"/>
        <w:bottom w:val="none" w:sz="0" w:space="0" w:color="auto"/>
        <w:right w:val="none" w:sz="0" w:space="0" w:color="auto"/>
      </w:divBdr>
      <w:divsChild>
        <w:div w:id="1082215509">
          <w:marLeft w:val="0"/>
          <w:marRight w:val="0"/>
          <w:marTop w:val="0"/>
          <w:marBottom w:val="240"/>
          <w:divBdr>
            <w:top w:val="none" w:sz="0" w:space="0" w:color="auto"/>
            <w:left w:val="none" w:sz="0" w:space="0" w:color="auto"/>
            <w:bottom w:val="none" w:sz="0" w:space="0" w:color="auto"/>
            <w:right w:val="none" w:sz="0" w:space="0" w:color="auto"/>
          </w:divBdr>
        </w:div>
        <w:div w:id="1759717991">
          <w:marLeft w:val="0"/>
          <w:marRight w:val="0"/>
          <w:marTop w:val="0"/>
          <w:marBottom w:val="24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30112444">
      <w:bodyDiv w:val="1"/>
      <w:marLeft w:val="0"/>
      <w:marRight w:val="0"/>
      <w:marTop w:val="0"/>
      <w:marBottom w:val="0"/>
      <w:divBdr>
        <w:top w:val="none" w:sz="0" w:space="0" w:color="auto"/>
        <w:left w:val="none" w:sz="0" w:space="0" w:color="auto"/>
        <w:bottom w:val="none" w:sz="0" w:space="0" w:color="auto"/>
        <w:right w:val="none" w:sz="0" w:space="0" w:color="auto"/>
      </w:divBdr>
    </w:div>
    <w:div w:id="1237087232">
      <w:bodyDiv w:val="1"/>
      <w:marLeft w:val="0"/>
      <w:marRight w:val="0"/>
      <w:marTop w:val="0"/>
      <w:marBottom w:val="0"/>
      <w:divBdr>
        <w:top w:val="none" w:sz="0" w:space="0" w:color="auto"/>
        <w:left w:val="none" w:sz="0" w:space="0" w:color="auto"/>
        <w:bottom w:val="none" w:sz="0" w:space="0" w:color="auto"/>
        <w:right w:val="none" w:sz="0" w:space="0" w:color="auto"/>
      </w:divBdr>
    </w:div>
    <w:div w:id="1278489657">
      <w:bodyDiv w:val="1"/>
      <w:marLeft w:val="0"/>
      <w:marRight w:val="0"/>
      <w:marTop w:val="0"/>
      <w:marBottom w:val="0"/>
      <w:divBdr>
        <w:top w:val="none" w:sz="0" w:space="0" w:color="auto"/>
        <w:left w:val="none" w:sz="0" w:space="0" w:color="auto"/>
        <w:bottom w:val="none" w:sz="0" w:space="0" w:color="auto"/>
        <w:right w:val="none" w:sz="0" w:space="0" w:color="auto"/>
      </w:divBdr>
    </w:div>
    <w:div w:id="1329744863">
      <w:bodyDiv w:val="1"/>
      <w:marLeft w:val="0"/>
      <w:marRight w:val="0"/>
      <w:marTop w:val="0"/>
      <w:marBottom w:val="0"/>
      <w:divBdr>
        <w:top w:val="none" w:sz="0" w:space="0" w:color="auto"/>
        <w:left w:val="none" w:sz="0" w:space="0" w:color="auto"/>
        <w:bottom w:val="none" w:sz="0" w:space="0" w:color="auto"/>
        <w:right w:val="none" w:sz="0" w:space="0" w:color="auto"/>
      </w:divBdr>
      <w:divsChild>
        <w:div w:id="320933360">
          <w:marLeft w:val="0"/>
          <w:marRight w:val="0"/>
          <w:marTop w:val="0"/>
          <w:marBottom w:val="0"/>
          <w:divBdr>
            <w:top w:val="none" w:sz="0" w:space="0" w:color="auto"/>
            <w:left w:val="none" w:sz="0" w:space="0" w:color="auto"/>
            <w:bottom w:val="none" w:sz="0" w:space="0" w:color="auto"/>
            <w:right w:val="none" w:sz="0" w:space="0" w:color="auto"/>
          </w:divBdr>
          <w:divsChild>
            <w:div w:id="21437953">
              <w:marLeft w:val="0"/>
              <w:marRight w:val="0"/>
              <w:marTop w:val="0"/>
              <w:marBottom w:val="0"/>
              <w:divBdr>
                <w:top w:val="none" w:sz="0" w:space="0" w:color="auto"/>
                <w:left w:val="none" w:sz="0" w:space="0" w:color="auto"/>
                <w:bottom w:val="none" w:sz="0" w:space="0" w:color="auto"/>
                <w:right w:val="none" w:sz="0" w:space="0" w:color="auto"/>
              </w:divBdr>
            </w:div>
          </w:divsChild>
        </w:div>
        <w:div w:id="772090181">
          <w:marLeft w:val="0"/>
          <w:marRight w:val="0"/>
          <w:marTop w:val="0"/>
          <w:marBottom w:val="0"/>
          <w:divBdr>
            <w:top w:val="none" w:sz="0" w:space="0" w:color="auto"/>
            <w:left w:val="none" w:sz="0" w:space="0" w:color="auto"/>
            <w:bottom w:val="none" w:sz="0" w:space="0" w:color="auto"/>
            <w:right w:val="none" w:sz="0" w:space="0" w:color="auto"/>
          </w:divBdr>
          <w:divsChild>
            <w:div w:id="1204828338">
              <w:marLeft w:val="0"/>
              <w:marRight w:val="0"/>
              <w:marTop w:val="0"/>
              <w:marBottom w:val="0"/>
              <w:divBdr>
                <w:top w:val="none" w:sz="0" w:space="0" w:color="auto"/>
                <w:left w:val="none" w:sz="0" w:space="0" w:color="auto"/>
                <w:bottom w:val="none" w:sz="0" w:space="0" w:color="auto"/>
                <w:right w:val="none" w:sz="0" w:space="0" w:color="auto"/>
              </w:divBdr>
              <w:divsChild>
                <w:div w:id="1869709233">
                  <w:marLeft w:val="0"/>
                  <w:marRight w:val="0"/>
                  <w:marTop w:val="0"/>
                  <w:marBottom w:val="0"/>
                  <w:divBdr>
                    <w:top w:val="none" w:sz="0" w:space="0" w:color="auto"/>
                    <w:left w:val="none" w:sz="0" w:space="0" w:color="auto"/>
                    <w:bottom w:val="none" w:sz="0" w:space="0" w:color="auto"/>
                    <w:right w:val="none" w:sz="0" w:space="0" w:color="auto"/>
                  </w:divBdr>
                  <w:divsChild>
                    <w:div w:id="70349431">
                      <w:marLeft w:val="0"/>
                      <w:marRight w:val="0"/>
                      <w:marTop w:val="0"/>
                      <w:marBottom w:val="0"/>
                      <w:divBdr>
                        <w:top w:val="none" w:sz="0" w:space="0" w:color="auto"/>
                        <w:left w:val="none" w:sz="0" w:space="0" w:color="auto"/>
                        <w:bottom w:val="none" w:sz="0" w:space="0" w:color="auto"/>
                        <w:right w:val="none" w:sz="0" w:space="0" w:color="auto"/>
                      </w:divBdr>
                      <w:divsChild>
                        <w:div w:id="8351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90840">
      <w:bodyDiv w:val="1"/>
      <w:marLeft w:val="0"/>
      <w:marRight w:val="0"/>
      <w:marTop w:val="0"/>
      <w:marBottom w:val="0"/>
      <w:divBdr>
        <w:top w:val="none" w:sz="0" w:space="0" w:color="auto"/>
        <w:left w:val="none" w:sz="0" w:space="0" w:color="auto"/>
        <w:bottom w:val="none" w:sz="0" w:space="0" w:color="auto"/>
        <w:right w:val="none" w:sz="0" w:space="0" w:color="auto"/>
      </w:divBdr>
    </w:div>
    <w:div w:id="1349866034">
      <w:bodyDiv w:val="1"/>
      <w:marLeft w:val="0"/>
      <w:marRight w:val="0"/>
      <w:marTop w:val="0"/>
      <w:marBottom w:val="0"/>
      <w:divBdr>
        <w:top w:val="none" w:sz="0" w:space="0" w:color="auto"/>
        <w:left w:val="none" w:sz="0" w:space="0" w:color="auto"/>
        <w:bottom w:val="none" w:sz="0" w:space="0" w:color="auto"/>
        <w:right w:val="none" w:sz="0" w:space="0" w:color="auto"/>
      </w:divBdr>
    </w:div>
    <w:div w:id="1357151469">
      <w:bodyDiv w:val="1"/>
      <w:marLeft w:val="0"/>
      <w:marRight w:val="0"/>
      <w:marTop w:val="0"/>
      <w:marBottom w:val="0"/>
      <w:divBdr>
        <w:top w:val="none" w:sz="0" w:space="0" w:color="auto"/>
        <w:left w:val="none" w:sz="0" w:space="0" w:color="auto"/>
        <w:bottom w:val="none" w:sz="0" w:space="0" w:color="auto"/>
        <w:right w:val="none" w:sz="0" w:space="0" w:color="auto"/>
      </w:divBdr>
    </w:div>
    <w:div w:id="1373381671">
      <w:bodyDiv w:val="1"/>
      <w:marLeft w:val="0"/>
      <w:marRight w:val="0"/>
      <w:marTop w:val="0"/>
      <w:marBottom w:val="0"/>
      <w:divBdr>
        <w:top w:val="none" w:sz="0" w:space="0" w:color="auto"/>
        <w:left w:val="none" w:sz="0" w:space="0" w:color="auto"/>
        <w:bottom w:val="none" w:sz="0" w:space="0" w:color="auto"/>
        <w:right w:val="none" w:sz="0" w:space="0" w:color="auto"/>
      </w:divBdr>
    </w:div>
    <w:div w:id="1385908011">
      <w:bodyDiv w:val="1"/>
      <w:marLeft w:val="0"/>
      <w:marRight w:val="0"/>
      <w:marTop w:val="0"/>
      <w:marBottom w:val="0"/>
      <w:divBdr>
        <w:top w:val="none" w:sz="0" w:space="0" w:color="auto"/>
        <w:left w:val="none" w:sz="0" w:space="0" w:color="auto"/>
        <w:bottom w:val="none" w:sz="0" w:space="0" w:color="auto"/>
        <w:right w:val="none" w:sz="0" w:space="0" w:color="auto"/>
      </w:divBdr>
    </w:div>
    <w:div w:id="1389525943">
      <w:bodyDiv w:val="1"/>
      <w:marLeft w:val="0"/>
      <w:marRight w:val="0"/>
      <w:marTop w:val="0"/>
      <w:marBottom w:val="0"/>
      <w:divBdr>
        <w:top w:val="none" w:sz="0" w:space="0" w:color="auto"/>
        <w:left w:val="none" w:sz="0" w:space="0" w:color="auto"/>
        <w:bottom w:val="none" w:sz="0" w:space="0" w:color="auto"/>
        <w:right w:val="none" w:sz="0" w:space="0" w:color="auto"/>
      </w:divBdr>
    </w:div>
    <w:div w:id="1418668699">
      <w:bodyDiv w:val="1"/>
      <w:marLeft w:val="0"/>
      <w:marRight w:val="0"/>
      <w:marTop w:val="0"/>
      <w:marBottom w:val="0"/>
      <w:divBdr>
        <w:top w:val="none" w:sz="0" w:space="0" w:color="auto"/>
        <w:left w:val="none" w:sz="0" w:space="0" w:color="auto"/>
        <w:bottom w:val="none" w:sz="0" w:space="0" w:color="auto"/>
        <w:right w:val="none" w:sz="0" w:space="0" w:color="auto"/>
      </w:divBdr>
    </w:div>
    <w:div w:id="1487477367">
      <w:bodyDiv w:val="1"/>
      <w:marLeft w:val="0"/>
      <w:marRight w:val="0"/>
      <w:marTop w:val="0"/>
      <w:marBottom w:val="0"/>
      <w:divBdr>
        <w:top w:val="none" w:sz="0" w:space="0" w:color="auto"/>
        <w:left w:val="none" w:sz="0" w:space="0" w:color="auto"/>
        <w:bottom w:val="none" w:sz="0" w:space="0" w:color="auto"/>
        <w:right w:val="none" w:sz="0" w:space="0" w:color="auto"/>
      </w:divBdr>
    </w:div>
    <w:div w:id="1526597461">
      <w:bodyDiv w:val="1"/>
      <w:marLeft w:val="0"/>
      <w:marRight w:val="0"/>
      <w:marTop w:val="0"/>
      <w:marBottom w:val="0"/>
      <w:divBdr>
        <w:top w:val="none" w:sz="0" w:space="0" w:color="auto"/>
        <w:left w:val="none" w:sz="0" w:space="0" w:color="auto"/>
        <w:bottom w:val="none" w:sz="0" w:space="0" w:color="auto"/>
        <w:right w:val="none" w:sz="0" w:space="0" w:color="auto"/>
      </w:divBdr>
    </w:div>
    <w:div w:id="1545021485">
      <w:bodyDiv w:val="1"/>
      <w:marLeft w:val="0"/>
      <w:marRight w:val="0"/>
      <w:marTop w:val="0"/>
      <w:marBottom w:val="0"/>
      <w:divBdr>
        <w:top w:val="none" w:sz="0" w:space="0" w:color="auto"/>
        <w:left w:val="none" w:sz="0" w:space="0" w:color="auto"/>
        <w:bottom w:val="none" w:sz="0" w:space="0" w:color="auto"/>
        <w:right w:val="none" w:sz="0" w:space="0" w:color="auto"/>
      </w:divBdr>
    </w:div>
    <w:div w:id="1559130403">
      <w:bodyDiv w:val="1"/>
      <w:marLeft w:val="0"/>
      <w:marRight w:val="0"/>
      <w:marTop w:val="0"/>
      <w:marBottom w:val="0"/>
      <w:divBdr>
        <w:top w:val="none" w:sz="0" w:space="0" w:color="auto"/>
        <w:left w:val="none" w:sz="0" w:space="0" w:color="auto"/>
        <w:bottom w:val="none" w:sz="0" w:space="0" w:color="auto"/>
        <w:right w:val="none" w:sz="0" w:space="0" w:color="auto"/>
      </w:divBdr>
    </w:div>
    <w:div w:id="1568883391">
      <w:bodyDiv w:val="1"/>
      <w:marLeft w:val="0"/>
      <w:marRight w:val="0"/>
      <w:marTop w:val="0"/>
      <w:marBottom w:val="0"/>
      <w:divBdr>
        <w:top w:val="none" w:sz="0" w:space="0" w:color="auto"/>
        <w:left w:val="none" w:sz="0" w:space="0" w:color="auto"/>
        <w:bottom w:val="none" w:sz="0" w:space="0" w:color="auto"/>
        <w:right w:val="none" w:sz="0" w:space="0" w:color="auto"/>
      </w:divBdr>
    </w:div>
    <w:div w:id="1570458096">
      <w:bodyDiv w:val="1"/>
      <w:marLeft w:val="0"/>
      <w:marRight w:val="0"/>
      <w:marTop w:val="0"/>
      <w:marBottom w:val="0"/>
      <w:divBdr>
        <w:top w:val="none" w:sz="0" w:space="0" w:color="auto"/>
        <w:left w:val="none" w:sz="0" w:space="0" w:color="auto"/>
        <w:bottom w:val="none" w:sz="0" w:space="0" w:color="auto"/>
        <w:right w:val="none" w:sz="0" w:space="0" w:color="auto"/>
      </w:divBdr>
    </w:div>
    <w:div w:id="1595019807">
      <w:bodyDiv w:val="1"/>
      <w:marLeft w:val="0"/>
      <w:marRight w:val="0"/>
      <w:marTop w:val="0"/>
      <w:marBottom w:val="0"/>
      <w:divBdr>
        <w:top w:val="none" w:sz="0" w:space="0" w:color="auto"/>
        <w:left w:val="none" w:sz="0" w:space="0" w:color="auto"/>
        <w:bottom w:val="none" w:sz="0" w:space="0" w:color="auto"/>
        <w:right w:val="none" w:sz="0" w:space="0" w:color="auto"/>
      </w:divBdr>
    </w:div>
    <w:div w:id="1692492520">
      <w:bodyDiv w:val="1"/>
      <w:marLeft w:val="0"/>
      <w:marRight w:val="0"/>
      <w:marTop w:val="0"/>
      <w:marBottom w:val="0"/>
      <w:divBdr>
        <w:top w:val="none" w:sz="0" w:space="0" w:color="auto"/>
        <w:left w:val="none" w:sz="0" w:space="0" w:color="auto"/>
        <w:bottom w:val="none" w:sz="0" w:space="0" w:color="auto"/>
        <w:right w:val="none" w:sz="0" w:space="0" w:color="auto"/>
      </w:divBdr>
    </w:div>
    <w:div w:id="1735619058">
      <w:bodyDiv w:val="1"/>
      <w:marLeft w:val="0"/>
      <w:marRight w:val="0"/>
      <w:marTop w:val="0"/>
      <w:marBottom w:val="0"/>
      <w:divBdr>
        <w:top w:val="none" w:sz="0" w:space="0" w:color="auto"/>
        <w:left w:val="none" w:sz="0" w:space="0" w:color="auto"/>
        <w:bottom w:val="none" w:sz="0" w:space="0" w:color="auto"/>
        <w:right w:val="none" w:sz="0" w:space="0" w:color="auto"/>
      </w:divBdr>
    </w:div>
    <w:div w:id="1775511458">
      <w:bodyDiv w:val="1"/>
      <w:marLeft w:val="0"/>
      <w:marRight w:val="0"/>
      <w:marTop w:val="0"/>
      <w:marBottom w:val="0"/>
      <w:divBdr>
        <w:top w:val="none" w:sz="0" w:space="0" w:color="auto"/>
        <w:left w:val="none" w:sz="0" w:space="0" w:color="auto"/>
        <w:bottom w:val="none" w:sz="0" w:space="0" w:color="auto"/>
        <w:right w:val="none" w:sz="0" w:space="0" w:color="auto"/>
      </w:divBdr>
    </w:div>
    <w:div w:id="1804930450">
      <w:bodyDiv w:val="1"/>
      <w:marLeft w:val="0"/>
      <w:marRight w:val="0"/>
      <w:marTop w:val="0"/>
      <w:marBottom w:val="0"/>
      <w:divBdr>
        <w:top w:val="none" w:sz="0" w:space="0" w:color="auto"/>
        <w:left w:val="none" w:sz="0" w:space="0" w:color="auto"/>
        <w:bottom w:val="none" w:sz="0" w:space="0" w:color="auto"/>
        <w:right w:val="none" w:sz="0" w:space="0" w:color="auto"/>
      </w:divBdr>
    </w:div>
    <w:div w:id="1807043382">
      <w:bodyDiv w:val="1"/>
      <w:marLeft w:val="0"/>
      <w:marRight w:val="0"/>
      <w:marTop w:val="0"/>
      <w:marBottom w:val="0"/>
      <w:divBdr>
        <w:top w:val="none" w:sz="0" w:space="0" w:color="auto"/>
        <w:left w:val="none" w:sz="0" w:space="0" w:color="auto"/>
        <w:bottom w:val="none" w:sz="0" w:space="0" w:color="auto"/>
        <w:right w:val="none" w:sz="0" w:space="0" w:color="auto"/>
      </w:divBdr>
    </w:div>
    <w:div w:id="1808471894">
      <w:bodyDiv w:val="1"/>
      <w:marLeft w:val="0"/>
      <w:marRight w:val="0"/>
      <w:marTop w:val="0"/>
      <w:marBottom w:val="0"/>
      <w:divBdr>
        <w:top w:val="none" w:sz="0" w:space="0" w:color="auto"/>
        <w:left w:val="none" w:sz="0" w:space="0" w:color="auto"/>
        <w:bottom w:val="none" w:sz="0" w:space="0" w:color="auto"/>
        <w:right w:val="none" w:sz="0" w:space="0" w:color="auto"/>
      </w:divBdr>
    </w:div>
    <w:div w:id="1853491172">
      <w:bodyDiv w:val="1"/>
      <w:marLeft w:val="0"/>
      <w:marRight w:val="0"/>
      <w:marTop w:val="0"/>
      <w:marBottom w:val="0"/>
      <w:divBdr>
        <w:top w:val="none" w:sz="0" w:space="0" w:color="auto"/>
        <w:left w:val="none" w:sz="0" w:space="0" w:color="auto"/>
        <w:bottom w:val="none" w:sz="0" w:space="0" w:color="auto"/>
        <w:right w:val="none" w:sz="0" w:space="0" w:color="auto"/>
      </w:divBdr>
    </w:div>
    <w:div w:id="1895769032">
      <w:bodyDiv w:val="1"/>
      <w:marLeft w:val="0"/>
      <w:marRight w:val="0"/>
      <w:marTop w:val="0"/>
      <w:marBottom w:val="0"/>
      <w:divBdr>
        <w:top w:val="none" w:sz="0" w:space="0" w:color="auto"/>
        <w:left w:val="none" w:sz="0" w:space="0" w:color="auto"/>
        <w:bottom w:val="none" w:sz="0" w:space="0" w:color="auto"/>
        <w:right w:val="none" w:sz="0" w:space="0" w:color="auto"/>
      </w:divBdr>
      <w:divsChild>
        <w:div w:id="1071732471">
          <w:marLeft w:val="0"/>
          <w:marRight w:val="0"/>
          <w:marTop w:val="0"/>
          <w:marBottom w:val="240"/>
          <w:divBdr>
            <w:top w:val="none" w:sz="0" w:space="0" w:color="auto"/>
            <w:left w:val="none" w:sz="0" w:space="0" w:color="auto"/>
            <w:bottom w:val="none" w:sz="0" w:space="0" w:color="auto"/>
            <w:right w:val="none" w:sz="0" w:space="0" w:color="auto"/>
          </w:divBdr>
        </w:div>
        <w:div w:id="1394625052">
          <w:marLeft w:val="0"/>
          <w:marRight w:val="0"/>
          <w:marTop w:val="0"/>
          <w:marBottom w:val="240"/>
          <w:divBdr>
            <w:top w:val="none" w:sz="0" w:space="0" w:color="auto"/>
            <w:left w:val="none" w:sz="0" w:space="0" w:color="auto"/>
            <w:bottom w:val="none" w:sz="0" w:space="0" w:color="auto"/>
            <w:right w:val="none" w:sz="0" w:space="0" w:color="auto"/>
          </w:divBdr>
        </w:div>
        <w:div w:id="1741319002">
          <w:marLeft w:val="0"/>
          <w:marRight w:val="0"/>
          <w:marTop w:val="0"/>
          <w:marBottom w:val="240"/>
          <w:divBdr>
            <w:top w:val="none" w:sz="0" w:space="0" w:color="auto"/>
            <w:left w:val="none" w:sz="0" w:space="0" w:color="auto"/>
            <w:bottom w:val="none" w:sz="0" w:space="0" w:color="auto"/>
            <w:right w:val="none" w:sz="0" w:space="0" w:color="auto"/>
          </w:divBdr>
        </w:div>
        <w:div w:id="1863012107">
          <w:marLeft w:val="0"/>
          <w:marRight w:val="0"/>
          <w:marTop w:val="0"/>
          <w:marBottom w:val="240"/>
          <w:divBdr>
            <w:top w:val="none" w:sz="0" w:space="0" w:color="auto"/>
            <w:left w:val="none" w:sz="0" w:space="0" w:color="auto"/>
            <w:bottom w:val="none" w:sz="0" w:space="0" w:color="auto"/>
            <w:right w:val="none" w:sz="0" w:space="0" w:color="auto"/>
          </w:divBdr>
        </w:div>
      </w:divsChild>
    </w:div>
    <w:div w:id="1912083530">
      <w:bodyDiv w:val="1"/>
      <w:marLeft w:val="0"/>
      <w:marRight w:val="0"/>
      <w:marTop w:val="0"/>
      <w:marBottom w:val="0"/>
      <w:divBdr>
        <w:top w:val="none" w:sz="0" w:space="0" w:color="auto"/>
        <w:left w:val="none" w:sz="0" w:space="0" w:color="auto"/>
        <w:bottom w:val="none" w:sz="0" w:space="0" w:color="auto"/>
        <w:right w:val="none" w:sz="0" w:space="0" w:color="auto"/>
      </w:divBdr>
    </w:div>
    <w:div w:id="1921912402">
      <w:bodyDiv w:val="1"/>
      <w:marLeft w:val="0"/>
      <w:marRight w:val="0"/>
      <w:marTop w:val="0"/>
      <w:marBottom w:val="0"/>
      <w:divBdr>
        <w:top w:val="none" w:sz="0" w:space="0" w:color="auto"/>
        <w:left w:val="none" w:sz="0" w:space="0" w:color="auto"/>
        <w:bottom w:val="none" w:sz="0" w:space="0" w:color="auto"/>
        <w:right w:val="none" w:sz="0" w:space="0" w:color="auto"/>
      </w:divBdr>
    </w:div>
    <w:div w:id="1940209500">
      <w:bodyDiv w:val="1"/>
      <w:marLeft w:val="0"/>
      <w:marRight w:val="0"/>
      <w:marTop w:val="0"/>
      <w:marBottom w:val="0"/>
      <w:divBdr>
        <w:top w:val="none" w:sz="0" w:space="0" w:color="auto"/>
        <w:left w:val="none" w:sz="0" w:space="0" w:color="auto"/>
        <w:bottom w:val="none" w:sz="0" w:space="0" w:color="auto"/>
        <w:right w:val="none" w:sz="0" w:space="0" w:color="auto"/>
      </w:divBdr>
    </w:div>
    <w:div w:id="1956784551">
      <w:bodyDiv w:val="1"/>
      <w:marLeft w:val="0"/>
      <w:marRight w:val="0"/>
      <w:marTop w:val="0"/>
      <w:marBottom w:val="0"/>
      <w:divBdr>
        <w:top w:val="none" w:sz="0" w:space="0" w:color="auto"/>
        <w:left w:val="none" w:sz="0" w:space="0" w:color="auto"/>
        <w:bottom w:val="none" w:sz="0" w:space="0" w:color="auto"/>
        <w:right w:val="none" w:sz="0" w:space="0" w:color="auto"/>
      </w:divBdr>
    </w:div>
    <w:div w:id="1965496406">
      <w:bodyDiv w:val="1"/>
      <w:marLeft w:val="0"/>
      <w:marRight w:val="0"/>
      <w:marTop w:val="0"/>
      <w:marBottom w:val="0"/>
      <w:divBdr>
        <w:top w:val="none" w:sz="0" w:space="0" w:color="auto"/>
        <w:left w:val="none" w:sz="0" w:space="0" w:color="auto"/>
        <w:bottom w:val="none" w:sz="0" w:space="0" w:color="auto"/>
        <w:right w:val="none" w:sz="0" w:space="0" w:color="auto"/>
      </w:divBdr>
    </w:div>
    <w:div w:id="1976326534">
      <w:bodyDiv w:val="1"/>
      <w:marLeft w:val="0"/>
      <w:marRight w:val="0"/>
      <w:marTop w:val="0"/>
      <w:marBottom w:val="0"/>
      <w:divBdr>
        <w:top w:val="none" w:sz="0" w:space="0" w:color="auto"/>
        <w:left w:val="none" w:sz="0" w:space="0" w:color="auto"/>
        <w:bottom w:val="none" w:sz="0" w:space="0" w:color="auto"/>
        <w:right w:val="none" w:sz="0" w:space="0" w:color="auto"/>
      </w:divBdr>
    </w:div>
    <w:div w:id="2009752301">
      <w:bodyDiv w:val="1"/>
      <w:marLeft w:val="0"/>
      <w:marRight w:val="0"/>
      <w:marTop w:val="0"/>
      <w:marBottom w:val="0"/>
      <w:divBdr>
        <w:top w:val="none" w:sz="0" w:space="0" w:color="auto"/>
        <w:left w:val="none" w:sz="0" w:space="0" w:color="auto"/>
        <w:bottom w:val="none" w:sz="0" w:space="0" w:color="auto"/>
        <w:right w:val="none" w:sz="0" w:space="0" w:color="auto"/>
      </w:divBdr>
    </w:div>
    <w:div w:id="2048791111">
      <w:bodyDiv w:val="1"/>
      <w:marLeft w:val="0"/>
      <w:marRight w:val="0"/>
      <w:marTop w:val="0"/>
      <w:marBottom w:val="0"/>
      <w:divBdr>
        <w:top w:val="none" w:sz="0" w:space="0" w:color="auto"/>
        <w:left w:val="none" w:sz="0" w:space="0" w:color="auto"/>
        <w:bottom w:val="none" w:sz="0" w:space="0" w:color="auto"/>
        <w:right w:val="none" w:sz="0" w:space="0" w:color="auto"/>
      </w:divBdr>
    </w:div>
    <w:div w:id="2072531244">
      <w:bodyDiv w:val="1"/>
      <w:marLeft w:val="0"/>
      <w:marRight w:val="0"/>
      <w:marTop w:val="0"/>
      <w:marBottom w:val="0"/>
      <w:divBdr>
        <w:top w:val="none" w:sz="0" w:space="0" w:color="auto"/>
        <w:left w:val="none" w:sz="0" w:space="0" w:color="auto"/>
        <w:bottom w:val="none" w:sz="0" w:space="0" w:color="auto"/>
        <w:right w:val="none" w:sz="0" w:space="0" w:color="auto"/>
      </w:divBdr>
    </w:div>
    <w:div w:id="2073695262">
      <w:bodyDiv w:val="1"/>
      <w:marLeft w:val="0"/>
      <w:marRight w:val="0"/>
      <w:marTop w:val="0"/>
      <w:marBottom w:val="0"/>
      <w:divBdr>
        <w:top w:val="none" w:sz="0" w:space="0" w:color="auto"/>
        <w:left w:val="none" w:sz="0" w:space="0" w:color="auto"/>
        <w:bottom w:val="none" w:sz="0" w:space="0" w:color="auto"/>
        <w:right w:val="none" w:sz="0" w:space="0" w:color="auto"/>
      </w:divBdr>
    </w:div>
    <w:div w:id="2090736152">
      <w:bodyDiv w:val="1"/>
      <w:marLeft w:val="0"/>
      <w:marRight w:val="0"/>
      <w:marTop w:val="0"/>
      <w:marBottom w:val="0"/>
      <w:divBdr>
        <w:top w:val="none" w:sz="0" w:space="0" w:color="auto"/>
        <w:left w:val="none" w:sz="0" w:space="0" w:color="auto"/>
        <w:bottom w:val="none" w:sz="0" w:space="0" w:color="auto"/>
        <w:right w:val="none" w:sz="0" w:space="0" w:color="auto"/>
      </w:divBdr>
    </w:div>
    <w:div w:id="20945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CB79-AF5F-40E9-A112-266D05B5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8523</Words>
  <Characters>47476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55888</CharactersWithSpaces>
  <SharedDoc>false</SharedDoc>
  <HLinks>
    <vt:vector size="90" baseType="variant">
      <vt:variant>
        <vt:i4>7602239</vt:i4>
      </vt:variant>
      <vt:variant>
        <vt:i4>42</vt:i4>
      </vt:variant>
      <vt:variant>
        <vt:i4>0</vt:i4>
      </vt:variant>
      <vt:variant>
        <vt:i4>5</vt:i4>
      </vt:variant>
      <vt:variant>
        <vt:lpwstr>https://oig.hhs.gov/oei/reports/oei-02-16-00440.asp</vt:lpwstr>
      </vt:variant>
      <vt:variant>
        <vt:lpwstr/>
      </vt:variant>
      <vt:variant>
        <vt:i4>7798844</vt:i4>
      </vt:variant>
      <vt:variant>
        <vt:i4>39</vt:i4>
      </vt:variant>
      <vt:variant>
        <vt:i4>0</vt:i4>
      </vt:variant>
      <vt:variant>
        <vt:i4>5</vt:i4>
      </vt:variant>
      <vt:variant>
        <vt:lpwstr>https://oig.hhs.gov/oei/reports/oei-03-11-00060.asp</vt:lpwstr>
      </vt:variant>
      <vt:variant>
        <vt:lpwstr/>
      </vt:variant>
      <vt:variant>
        <vt:i4>7602239</vt:i4>
      </vt:variant>
      <vt:variant>
        <vt:i4>36</vt:i4>
      </vt:variant>
      <vt:variant>
        <vt:i4>0</vt:i4>
      </vt:variant>
      <vt:variant>
        <vt:i4>5</vt:i4>
      </vt:variant>
      <vt:variant>
        <vt:lpwstr>https://oig.hhs.gov/oei/reports/oei-02-16-00440.asp</vt:lpwstr>
      </vt:variant>
      <vt:variant>
        <vt:lpwstr/>
      </vt:variant>
      <vt:variant>
        <vt:i4>2424898</vt:i4>
      </vt:variant>
      <vt:variant>
        <vt:i4>33</vt:i4>
      </vt:variant>
      <vt:variant>
        <vt:i4>0</vt:i4>
      </vt:variant>
      <vt:variant>
        <vt:i4>5</vt:i4>
      </vt:variant>
      <vt:variant>
        <vt:lpwstr>https://www.dhcs.ca.gov/provgovpart/pharmacy/Documents/PRP_Merc_Rpt_170127.pdf</vt:lpwstr>
      </vt:variant>
      <vt:variant>
        <vt:lpwstr/>
      </vt:variant>
      <vt:variant>
        <vt:i4>6291536</vt:i4>
      </vt:variant>
      <vt:variant>
        <vt:i4>30</vt:i4>
      </vt:variant>
      <vt:variant>
        <vt:i4>0</vt:i4>
      </vt:variant>
      <vt:variant>
        <vt:i4>5</vt:i4>
      </vt:variant>
      <vt:variant>
        <vt:lpwstr>https://www.google.com/url?q=http://www.dhcs.ca.gov/provgovpart/pharmacy/Documents/SPA_17-002_Public_Notice.pdf&amp;sa=U&amp;ved=0ahUKEwjx2ozIkdDgAhVrrVQKHcppC6oQFggIMAE&amp;client=internal-uds-cse&amp;cx=001779225245372747843:vhylo_moui4&amp;usg=AOvVaw3ZsZgtRdxnjH6sYIFjE8_O</vt:lpwstr>
      </vt:variant>
      <vt:variant>
        <vt:lpwstr/>
      </vt:variant>
      <vt:variant>
        <vt:i4>6881338</vt:i4>
      </vt:variant>
      <vt:variant>
        <vt:i4>27</vt:i4>
      </vt:variant>
      <vt:variant>
        <vt:i4>0</vt:i4>
      </vt:variant>
      <vt:variant>
        <vt:i4>5</vt:i4>
      </vt:variant>
      <vt:variant>
        <vt:lpwstr>https://www.dhcs.ca.gov/provgovpart/pharmacy/Pages/PharmSurvey.aspx</vt:lpwstr>
      </vt:variant>
      <vt:variant>
        <vt:lpwstr/>
      </vt:variant>
      <vt:variant>
        <vt:i4>65652</vt:i4>
      </vt:variant>
      <vt:variant>
        <vt:i4>24</vt:i4>
      </vt:variant>
      <vt:variant>
        <vt:i4>0</vt:i4>
      </vt:variant>
      <vt:variant>
        <vt:i4>5</vt:i4>
      </vt:variant>
      <vt:variant>
        <vt:lpwstr>https://files.medi-cal.ca.gov/pubsdoco/publications/masters-mtp/part2/reimbursement_p00.doc</vt:lpwstr>
      </vt:variant>
      <vt:variant>
        <vt:lpwstr/>
      </vt:variant>
      <vt:variant>
        <vt:i4>7471105</vt:i4>
      </vt:variant>
      <vt:variant>
        <vt:i4>21</vt:i4>
      </vt:variant>
      <vt:variant>
        <vt:i4>0</vt:i4>
      </vt:variant>
      <vt:variant>
        <vt:i4>5</vt:i4>
      </vt:variant>
      <vt:variant>
        <vt:lpwstr>http://files.medi-cal.ca.gov/pubsdoco/newsroom/newsroom_27640.asp?utm_source=iContact&amp;utm_medium=email&amp;utm_campaign=medi-cal-newsflash&amp;utm_content=26740</vt:lpwstr>
      </vt:variant>
      <vt:variant>
        <vt:lpwstr/>
      </vt:variant>
      <vt:variant>
        <vt:i4>2687093</vt:i4>
      </vt:variant>
      <vt:variant>
        <vt:i4>18</vt:i4>
      </vt:variant>
      <vt:variant>
        <vt:i4>0</vt:i4>
      </vt:variant>
      <vt:variant>
        <vt:i4>5</vt:i4>
      </vt:variant>
      <vt:variant>
        <vt:lpwstr>https://www.fda.gov/downloads/Drugs/GuidanceComplianceRegulatoryInformation/Guidances/UCM510153.pdf</vt:lpwstr>
      </vt:variant>
      <vt:variant>
        <vt:lpwstr/>
      </vt:variant>
      <vt:variant>
        <vt:i4>2687090</vt:i4>
      </vt:variant>
      <vt:variant>
        <vt:i4>15</vt:i4>
      </vt:variant>
      <vt:variant>
        <vt:i4>0</vt:i4>
      </vt:variant>
      <vt:variant>
        <vt:i4>5</vt:i4>
      </vt:variant>
      <vt:variant>
        <vt:lpwstr>https://www.fda.gov/downloads/Drugs/GuidanceComplianceRegulatoryInformation/Guidances/UCM510154.pdf</vt:lpwstr>
      </vt:variant>
      <vt:variant>
        <vt:lpwstr/>
      </vt:variant>
      <vt:variant>
        <vt:i4>2228312</vt:i4>
      </vt:variant>
      <vt:variant>
        <vt:i4>12</vt:i4>
      </vt:variant>
      <vt:variant>
        <vt:i4>0</vt:i4>
      </vt:variant>
      <vt:variant>
        <vt:i4>5</vt:i4>
      </vt:variant>
      <vt:variant>
        <vt:lpwstr>http://leginfo.legislature.ca.gov/faces/billNavClient.xhtml?bill_id=201120120AB378</vt:lpwstr>
      </vt:variant>
      <vt:variant>
        <vt:lpwstr/>
      </vt:variant>
      <vt:variant>
        <vt:i4>7995507</vt:i4>
      </vt:variant>
      <vt:variant>
        <vt:i4>9</vt:i4>
      </vt:variant>
      <vt:variant>
        <vt:i4>0</vt:i4>
      </vt:variant>
      <vt:variant>
        <vt:i4>5</vt:i4>
      </vt:variant>
      <vt:variant>
        <vt:lpwstr>https://www.fda.gov/drugs/drug-approvals-and-databases/national-drug-code-directory</vt:lpwstr>
      </vt:variant>
      <vt:variant>
        <vt:lpwstr/>
      </vt:variant>
      <vt:variant>
        <vt:i4>6619168</vt:i4>
      </vt:variant>
      <vt:variant>
        <vt:i4>6</vt:i4>
      </vt:variant>
      <vt:variant>
        <vt:i4>0</vt:i4>
      </vt:variant>
      <vt:variant>
        <vt:i4>5</vt:i4>
      </vt:variant>
      <vt:variant>
        <vt:lpwstr>https://files.medi-cal.ca.gov/pubsdoco/publications/masters-mtp/part2/reimbursement.pdf</vt:lpwstr>
      </vt:variant>
      <vt:variant>
        <vt:lpwstr/>
      </vt:variant>
      <vt:variant>
        <vt:i4>2424898</vt:i4>
      </vt:variant>
      <vt:variant>
        <vt:i4>3</vt:i4>
      </vt:variant>
      <vt:variant>
        <vt:i4>0</vt:i4>
      </vt:variant>
      <vt:variant>
        <vt:i4>5</vt:i4>
      </vt:variant>
      <vt:variant>
        <vt:lpwstr>https://www.dhcs.ca.gov/provgovpart/pharmacy/Documents/PRP_Merc_Rpt_170127.pdf</vt:lpwstr>
      </vt:variant>
      <vt:variant>
        <vt:lpwstr/>
      </vt:variant>
      <vt:variant>
        <vt:i4>7536654</vt:i4>
      </vt:variant>
      <vt:variant>
        <vt:i4>0</vt:i4>
      </vt:variant>
      <vt:variant>
        <vt:i4>0</vt:i4>
      </vt:variant>
      <vt:variant>
        <vt:i4>5</vt:i4>
      </vt:variant>
      <vt:variant>
        <vt:lpwstr>https://www.dhcs.ca.gov/provgovpart/pharmacy/Documents/PRP_RetroactiveClaimAdj.pdf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2024-10-29T21:48:00Z</dcterms:created>
  <dcterms:modified xsi:type="dcterms:W3CDTF">2024-12-11T19:48:00Z</dcterms:modified>
</cp:coreProperties>
</file>