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mment Chart for 2nd 15-day Comment Period"/>
        <w:tblDescription w:val="The comment chart summarizes the comments submitted by the public during the rulemaking 2nd 15-day comment period, identifies the person or entity submitting the comment, sets forth the Division of Workers' Compensation response, and sets forth a description of action taken in response to the comment, or indicates that no action is necessary."/>
      </w:tblPr>
      <w:tblGrid>
        <w:gridCol w:w="2088"/>
        <w:gridCol w:w="3960"/>
        <w:gridCol w:w="2677"/>
        <w:gridCol w:w="2903"/>
        <w:gridCol w:w="2325"/>
      </w:tblGrid>
      <w:tr w:rsidR="005E1385" w:rsidRPr="00C072DC" w14:paraId="3F30C5B9" w14:textId="77777777" w:rsidTr="00296934">
        <w:trPr>
          <w:trHeight w:val="100"/>
          <w:tblHeader/>
        </w:trPr>
        <w:tc>
          <w:tcPr>
            <w:tcW w:w="2088" w:type="dxa"/>
          </w:tcPr>
          <w:p w14:paraId="7EC30EC4" w14:textId="182E8DCB" w:rsidR="005E1385" w:rsidRPr="00C072DC" w:rsidRDefault="00C072DC" w:rsidP="00C072DC">
            <w:pPr>
              <w:rPr>
                <w:rFonts w:ascii="Arial" w:hAnsi="Arial" w:cs="Arial"/>
                <w:b/>
                <w:bCs/>
                <w:sz w:val="24"/>
                <w:szCs w:val="24"/>
              </w:rPr>
            </w:pPr>
            <w:r w:rsidRPr="00C072DC">
              <w:rPr>
                <w:rFonts w:ascii="Arial" w:hAnsi="Arial" w:cs="Arial"/>
                <w:b/>
                <w:bCs/>
                <w:sz w:val="24"/>
                <w:szCs w:val="24"/>
              </w:rPr>
              <w:t>OMFS Physician -Pharmaceutical Fee Schedule</w:t>
            </w:r>
          </w:p>
        </w:tc>
        <w:tc>
          <w:tcPr>
            <w:tcW w:w="3960" w:type="dxa"/>
          </w:tcPr>
          <w:p w14:paraId="1C1A63BA" w14:textId="4E527DC7" w:rsidR="009749AB" w:rsidRPr="00C072DC" w:rsidRDefault="00C072DC" w:rsidP="00C072DC">
            <w:pPr>
              <w:jc w:val="center"/>
              <w:rPr>
                <w:rFonts w:ascii="Arial" w:hAnsi="Arial" w:cs="Arial"/>
                <w:b/>
                <w:bCs/>
                <w:sz w:val="24"/>
                <w:szCs w:val="24"/>
              </w:rPr>
            </w:pPr>
            <w:r w:rsidRPr="00C072DC">
              <w:rPr>
                <w:rFonts w:ascii="Arial" w:hAnsi="Arial" w:cs="Arial"/>
                <w:b/>
                <w:bCs/>
                <w:sz w:val="24"/>
                <w:szCs w:val="24"/>
              </w:rPr>
              <w:t xml:space="preserve">RULEMAKING COMMENTS </w:t>
            </w:r>
            <w:r w:rsidR="000A0E02">
              <w:rPr>
                <w:rFonts w:ascii="Arial" w:hAnsi="Arial" w:cs="Arial"/>
                <w:b/>
                <w:bCs/>
                <w:sz w:val="24"/>
                <w:szCs w:val="24"/>
              </w:rPr>
              <w:t>2</w:t>
            </w:r>
            <w:r w:rsidR="000A0E02" w:rsidRPr="000A0E02">
              <w:rPr>
                <w:rFonts w:ascii="Arial" w:hAnsi="Arial" w:cs="Arial"/>
                <w:b/>
                <w:bCs/>
                <w:sz w:val="24"/>
                <w:szCs w:val="24"/>
                <w:vertAlign w:val="superscript"/>
              </w:rPr>
              <w:t>nd</w:t>
            </w:r>
            <w:r w:rsidR="000A0E02">
              <w:rPr>
                <w:rFonts w:ascii="Arial" w:hAnsi="Arial" w:cs="Arial"/>
                <w:b/>
                <w:bCs/>
                <w:sz w:val="24"/>
                <w:szCs w:val="24"/>
              </w:rPr>
              <w:t xml:space="preserve"> </w:t>
            </w:r>
            <w:r w:rsidR="00D94972">
              <w:rPr>
                <w:rFonts w:ascii="Arial" w:hAnsi="Arial" w:cs="Arial"/>
                <w:b/>
                <w:bCs/>
                <w:sz w:val="24"/>
                <w:szCs w:val="24"/>
              </w:rPr>
              <w:t>1</w:t>
            </w:r>
            <w:r w:rsidRPr="00C072DC">
              <w:rPr>
                <w:rFonts w:ascii="Arial" w:hAnsi="Arial" w:cs="Arial"/>
                <w:b/>
                <w:bCs/>
                <w:sz w:val="24"/>
                <w:szCs w:val="24"/>
              </w:rPr>
              <w:t>5 DAY COMMENT PERIOD</w:t>
            </w:r>
          </w:p>
        </w:tc>
        <w:tc>
          <w:tcPr>
            <w:tcW w:w="2677" w:type="dxa"/>
          </w:tcPr>
          <w:p w14:paraId="3B70870D" w14:textId="73550557" w:rsidR="00B318DB" w:rsidRPr="00C072DC" w:rsidRDefault="00C072DC" w:rsidP="00C072DC">
            <w:pPr>
              <w:jc w:val="center"/>
              <w:rPr>
                <w:rFonts w:ascii="Arial" w:hAnsi="Arial" w:cs="Arial"/>
                <w:b/>
                <w:bCs/>
                <w:sz w:val="24"/>
                <w:szCs w:val="24"/>
              </w:rPr>
            </w:pPr>
            <w:r w:rsidRPr="00C072DC">
              <w:rPr>
                <w:rFonts w:ascii="Arial" w:hAnsi="Arial" w:cs="Arial"/>
                <w:b/>
                <w:bCs/>
                <w:sz w:val="24"/>
                <w:szCs w:val="24"/>
              </w:rPr>
              <w:t>NAME OF PERSON</w:t>
            </w:r>
            <w:r>
              <w:rPr>
                <w:rFonts w:ascii="Arial" w:hAnsi="Arial" w:cs="Arial"/>
                <w:b/>
                <w:bCs/>
                <w:sz w:val="24"/>
                <w:szCs w:val="24"/>
              </w:rPr>
              <w:t xml:space="preserve"> AND </w:t>
            </w:r>
            <w:r w:rsidRPr="00C072DC">
              <w:rPr>
                <w:rFonts w:ascii="Arial" w:hAnsi="Arial" w:cs="Arial"/>
                <w:b/>
                <w:bCs/>
                <w:sz w:val="24"/>
                <w:szCs w:val="24"/>
              </w:rPr>
              <w:t>AFFILIATION</w:t>
            </w:r>
          </w:p>
        </w:tc>
        <w:tc>
          <w:tcPr>
            <w:tcW w:w="2903" w:type="dxa"/>
          </w:tcPr>
          <w:p w14:paraId="66F9C534" w14:textId="10BE74A5" w:rsidR="005E1385" w:rsidRPr="00C072DC" w:rsidRDefault="00C072DC" w:rsidP="00C072DC">
            <w:pPr>
              <w:jc w:val="center"/>
              <w:rPr>
                <w:rFonts w:ascii="Arial" w:hAnsi="Arial" w:cs="Arial"/>
                <w:b/>
                <w:bCs/>
                <w:sz w:val="24"/>
                <w:szCs w:val="24"/>
              </w:rPr>
            </w:pPr>
            <w:r w:rsidRPr="00C072DC">
              <w:rPr>
                <w:rFonts w:ascii="Arial" w:hAnsi="Arial" w:cs="Arial"/>
                <w:b/>
                <w:bCs/>
                <w:sz w:val="24"/>
                <w:szCs w:val="24"/>
              </w:rPr>
              <w:t>RESPONSE</w:t>
            </w:r>
          </w:p>
        </w:tc>
        <w:tc>
          <w:tcPr>
            <w:tcW w:w="2325" w:type="dxa"/>
          </w:tcPr>
          <w:p w14:paraId="170F40AC" w14:textId="3D6044CF" w:rsidR="005E1385" w:rsidRPr="00C072DC" w:rsidRDefault="00C072DC" w:rsidP="00C072DC">
            <w:pPr>
              <w:jc w:val="center"/>
              <w:rPr>
                <w:rFonts w:ascii="Arial" w:hAnsi="Arial" w:cs="Arial"/>
                <w:b/>
                <w:bCs/>
                <w:sz w:val="24"/>
                <w:szCs w:val="24"/>
              </w:rPr>
            </w:pPr>
            <w:r w:rsidRPr="00C072DC">
              <w:rPr>
                <w:rFonts w:ascii="Arial" w:hAnsi="Arial" w:cs="Arial"/>
                <w:b/>
                <w:bCs/>
                <w:sz w:val="24"/>
                <w:szCs w:val="24"/>
              </w:rPr>
              <w:t>ACTION</w:t>
            </w:r>
          </w:p>
        </w:tc>
      </w:tr>
      <w:tr w:rsidR="005E1385" w:rsidRPr="00C072DC" w14:paraId="0F34E986" w14:textId="77777777" w:rsidTr="00296934">
        <w:trPr>
          <w:trHeight w:val="100"/>
        </w:trPr>
        <w:tc>
          <w:tcPr>
            <w:tcW w:w="2088" w:type="dxa"/>
          </w:tcPr>
          <w:p w14:paraId="4D1E2FBC" w14:textId="47F06EDD" w:rsidR="005E1385" w:rsidRPr="00C072DC" w:rsidRDefault="00381275" w:rsidP="00B318DB">
            <w:pPr>
              <w:rPr>
                <w:rFonts w:ascii="Arial" w:hAnsi="Arial" w:cs="Arial"/>
                <w:sz w:val="24"/>
                <w:szCs w:val="24"/>
              </w:rPr>
            </w:pPr>
            <w:r>
              <w:rPr>
                <w:rFonts w:ascii="Arial" w:hAnsi="Arial" w:cs="Arial"/>
                <w:sz w:val="24"/>
                <w:szCs w:val="24"/>
              </w:rPr>
              <w:t>General Comment</w:t>
            </w:r>
          </w:p>
        </w:tc>
        <w:tc>
          <w:tcPr>
            <w:tcW w:w="3960" w:type="dxa"/>
          </w:tcPr>
          <w:p w14:paraId="1A1A1DDC" w14:textId="3449B262" w:rsidR="005E1385" w:rsidRPr="00C072DC" w:rsidRDefault="00381275" w:rsidP="00B318DB">
            <w:pPr>
              <w:pStyle w:val="Heading1"/>
              <w:jc w:val="left"/>
              <w:rPr>
                <w:rFonts w:ascii="Arial" w:hAnsi="Arial" w:cs="Arial"/>
                <w:b w:val="0"/>
                <w:sz w:val="24"/>
                <w:szCs w:val="24"/>
              </w:rPr>
            </w:pPr>
            <w:r>
              <w:rPr>
                <w:rFonts w:ascii="Arial" w:hAnsi="Arial" w:cs="Arial"/>
                <w:b w:val="0"/>
                <w:sz w:val="24"/>
                <w:szCs w:val="24"/>
              </w:rPr>
              <w:t>Commenter has reviewed the proposed changes and has no</w:t>
            </w:r>
            <w:r w:rsidR="0011144B">
              <w:rPr>
                <w:rFonts w:ascii="Arial" w:hAnsi="Arial" w:cs="Arial"/>
                <w:b w:val="0"/>
                <w:sz w:val="24"/>
                <w:szCs w:val="24"/>
              </w:rPr>
              <w:t xml:space="preserve"> </w:t>
            </w:r>
            <w:r>
              <w:rPr>
                <w:rFonts w:ascii="Arial" w:hAnsi="Arial" w:cs="Arial"/>
                <w:b w:val="0"/>
                <w:sz w:val="24"/>
                <w:szCs w:val="24"/>
              </w:rPr>
              <w:t xml:space="preserve">comment </w:t>
            </w:r>
            <w:proofErr w:type="gramStart"/>
            <w:r>
              <w:rPr>
                <w:rFonts w:ascii="Arial" w:hAnsi="Arial" w:cs="Arial"/>
                <w:b w:val="0"/>
                <w:sz w:val="24"/>
                <w:szCs w:val="24"/>
              </w:rPr>
              <w:t>at this time</w:t>
            </w:r>
            <w:proofErr w:type="gramEnd"/>
            <w:r>
              <w:rPr>
                <w:rFonts w:ascii="Arial" w:hAnsi="Arial" w:cs="Arial"/>
                <w:b w:val="0"/>
                <w:sz w:val="24"/>
                <w:szCs w:val="24"/>
              </w:rPr>
              <w:t>.</w:t>
            </w:r>
          </w:p>
        </w:tc>
        <w:tc>
          <w:tcPr>
            <w:tcW w:w="2677" w:type="dxa"/>
          </w:tcPr>
          <w:p w14:paraId="4F4E46A5" w14:textId="77777777" w:rsidR="003B06EF" w:rsidRDefault="00381275" w:rsidP="00B318DB">
            <w:pPr>
              <w:rPr>
                <w:rFonts w:ascii="Arial" w:hAnsi="Arial" w:cs="Arial"/>
                <w:sz w:val="24"/>
                <w:szCs w:val="24"/>
              </w:rPr>
            </w:pPr>
            <w:r>
              <w:rPr>
                <w:rFonts w:ascii="Arial" w:hAnsi="Arial" w:cs="Arial"/>
                <w:sz w:val="24"/>
                <w:szCs w:val="24"/>
              </w:rPr>
              <w:t>Andrea Guzman</w:t>
            </w:r>
          </w:p>
          <w:p w14:paraId="71892D7D" w14:textId="77777777" w:rsidR="00381275" w:rsidRDefault="00381275" w:rsidP="00B318DB">
            <w:pPr>
              <w:rPr>
                <w:rFonts w:ascii="Arial" w:hAnsi="Arial" w:cs="Arial"/>
                <w:sz w:val="24"/>
                <w:szCs w:val="24"/>
              </w:rPr>
            </w:pPr>
            <w:r>
              <w:rPr>
                <w:rFonts w:ascii="Arial" w:hAnsi="Arial" w:cs="Arial"/>
                <w:sz w:val="24"/>
                <w:szCs w:val="24"/>
              </w:rPr>
              <w:t>Claims Regulatory Director</w:t>
            </w:r>
          </w:p>
          <w:p w14:paraId="391552F2" w14:textId="77777777" w:rsidR="00381275" w:rsidRDefault="00381275" w:rsidP="00B318DB">
            <w:pPr>
              <w:rPr>
                <w:rFonts w:ascii="Arial" w:hAnsi="Arial" w:cs="Arial"/>
                <w:sz w:val="24"/>
                <w:szCs w:val="24"/>
              </w:rPr>
            </w:pPr>
            <w:r>
              <w:rPr>
                <w:rFonts w:ascii="Arial" w:hAnsi="Arial" w:cs="Arial"/>
                <w:sz w:val="24"/>
                <w:szCs w:val="24"/>
              </w:rPr>
              <w:t>State Compensation Insurance Fund (SCIF)</w:t>
            </w:r>
          </w:p>
          <w:p w14:paraId="6FB3F9E1" w14:textId="08E4B4CA" w:rsidR="00381275" w:rsidRDefault="005B05C3" w:rsidP="00B318DB">
            <w:pPr>
              <w:rPr>
                <w:rFonts w:ascii="Arial" w:hAnsi="Arial" w:cs="Arial"/>
                <w:sz w:val="24"/>
                <w:szCs w:val="24"/>
              </w:rPr>
            </w:pPr>
            <w:r>
              <w:rPr>
                <w:rFonts w:ascii="Arial" w:hAnsi="Arial" w:cs="Arial"/>
                <w:sz w:val="24"/>
                <w:szCs w:val="24"/>
              </w:rPr>
              <w:t>October 22</w:t>
            </w:r>
            <w:r w:rsidR="00381275">
              <w:rPr>
                <w:rFonts w:ascii="Arial" w:hAnsi="Arial" w:cs="Arial"/>
                <w:sz w:val="24"/>
                <w:szCs w:val="24"/>
              </w:rPr>
              <w:t>, 2024</w:t>
            </w:r>
          </w:p>
          <w:p w14:paraId="76F83D3C" w14:textId="76F22593" w:rsidR="00381275" w:rsidRPr="00C072DC" w:rsidRDefault="00381275" w:rsidP="00085AE9">
            <w:pPr>
              <w:spacing w:after="120"/>
              <w:rPr>
                <w:rFonts w:ascii="Arial" w:hAnsi="Arial" w:cs="Arial"/>
                <w:sz w:val="24"/>
                <w:szCs w:val="24"/>
              </w:rPr>
            </w:pPr>
            <w:r>
              <w:rPr>
                <w:rFonts w:ascii="Arial" w:hAnsi="Arial" w:cs="Arial"/>
                <w:sz w:val="24"/>
                <w:szCs w:val="24"/>
              </w:rPr>
              <w:t>Written Comment</w:t>
            </w:r>
          </w:p>
        </w:tc>
        <w:tc>
          <w:tcPr>
            <w:tcW w:w="2903" w:type="dxa"/>
          </w:tcPr>
          <w:p w14:paraId="2C522F78" w14:textId="50BCAD2B" w:rsidR="005E1385" w:rsidRPr="00C072DC" w:rsidRDefault="00381275" w:rsidP="00B318DB">
            <w:pPr>
              <w:rPr>
                <w:rFonts w:ascii="Arial" w:hAnsi="Arial" w:cs="Arial"/>
                <w:sz w:val="24"/>
                <w:szCs w:val="24"/>
              </w:rPr>
            </w:pPr>
            <w:r>
              <w:rPr>
                <w:rFonts w:ascii="Arial" w:hAnsi="Arial" w:cs="Arial"/>
                <w:sz w:val="24"/>
                <w:szCs w:val="24"/>
              </w:rPr>
              <w:t>Noted.</w:t>
            </w:r>
          </w:p>
        </w:tc>
        <w:tc>
          <w:tcPr>
            <w:tcW w:w="2325" w:type="dxa"/>
          </w:tcPr>
          <w:p w14:paraId="67F3CE0E" w14:textId="56E15B2F" w:rsidR="005E1385" w:rsidRPr="00C072DC" w:rsidRDefault="004D3C65" w:rsidP="00B318DB">
            <w:pPr>
              <w:rPr>
                <w:rFonts w:ascii="Arial" w:hAnsi="Arial" w:cs="Arial"/>
                <w:sz w:val="24"/>
                <w:szCs w:val="24"/>
              </w:rPr>
            </w:pPr>
            <w:r>
              <w:rPr>
                <w:rFonts w:ascii="Arial" w:hAnsi="Arial" w:cs="Arial"/>
                <w:sz w:val="24"/>
                <w:szCs w:val="24"/>
              </w:rPr>
              <w:t>No action necessary.</w:t>
            </w:r>
          </w:p>
        </w:tc>
      </w:tr>
      <w:tr w:rsidR="00135B9E" w:rsidRPr="00C072DC" w14:paraId="6E9EBA94" w14:textId="77777777" w:rsidTr="00296934">
        <w:trPr>
          <w:trHeight w:val="100"/>
        </w:trPr>
        <w:tc>
          <w:tcPr>
            <w:tcW w:w="2088" w:type="dxa"/>
          </w:tcPr>
          <w:p w14:paraId="7BEF6582" w14:textId="19574933" w:rsidR="00135B9E" w:rsidRPr="00C072DC" w:rsidRDefault="00135B9E" w:rsidP="00135B9E">
            <w:pPr>
              <w:rPr>
                <w:rFonts w:ascii="Arial" w:hAnsi="Arial" w:cs="Arial"/>
                <w:sz w:val="24"/>
                <w:szCs w:val="24"/>
              </w:rPr>
            </w:pPr>
            <w:r>
              <w:rPr>
                <w:rFonts w:ascii="Arial" w:hAnsi="Arial" w:cs="Arial"/>
                <w:sz w:val="24"/>
                <w:szCs w:val="24"/>
              </w:rPr>
              <w:t>Effective date extension from 90 to 180 days</w:t>
            </w:r>
          </w:p>
        </w:tc>
        <w:tc>
          <w:tcPr>
            <w:tcW w:w="3960" w:type="dxa"/>
          </w:tcPr>
          <w:p w14:paraId="3A8B302D" w14:textId="77777777" w:rsidR="00135B9E" w:rsidRDefault="00135B9E" w:rsidP="00135B9E">
            <w:pPr>
              <w:spacing w:after="120"/>
              <w:rPr>
                <w:rFonts w:ascii="Arial" w:hAnsi="Arial" w:cs="Arial"/>
                <w:sz w:val="24"/>
                <w:szCs w:val="24"/>
              </w:rPr>
            </w:pPr>
            <w:r>
              <w:rPr>
                <w:rFonts w:ascii="Arial" w:hAnsi="Arial" w:cs="Arial"/>
                <w:sz w:val="24"/>
                <w:szCs w:val="24"/>
              </w:rPr>
              <w:t xml:space="preserve">Commenter supports and thanks the DWC for extending the proposed 90-day timeline to 180-days as this added time will allow the industry to develop the necessary automation to build a compliant process.  </w:t>
            </w:r>
          </w:p>
          <w:p w14:paraId="2A163665" w14:textId="4C6E0385" w:rsidR="00135B9E" w:rsidRPr="00C072DC" w:rsidRDefault="00135B9E" w:rsidP="00135B9E">
            <w:pPr>
              <w:spacing w:after="120"/>
              <w:rPr>
                <w:rFonts w:ascii="Arial" w:hAnsi="Arial" w:cs="Arial"/>
                <w:sz w:val="24"/>
                <w:szCs w:val="24"/>
              </w:rPr>
            </w:pPr>
            <w:r>
              <w:rPr>
                <w:rFonts w:ascii="Arial" w:hAnsi="Arial" w:cs="Arial"/>
                <w:sz w:val="24"/>
                <w:szCs w:val="24"/>
              </w:rPr>
              <w:t>Commenter recommends that the DWC assign an internal technology partner to help guide the industry through the implementation and testing phases to help ensure the state builds a successful process.</w:t>
            </w:r>
          </w:p>
        </w:tc>
        <w:tc>
          <w:tcPr>
            <w:tcW w:w="2677" w:type="dxa"/>
          </w:tcPr>
          <w:p w14:paraId="43BB0E99" w14:textId="38025DFD" w:rsidR="00135B9E" w:rsidRDefault="00135B9E" w:rsidP="00135B9E">
            <w:pPr>
              <w:rPr>
                <w:rFonts w:ascii="Arial" w:hAnsi="Arial" w:cs="Arial"/>
                <w:sz w:val="24"/>
                <w:szCs w:val="24"/>
              </w:rPr>
            </w:pPr>
            <w:r>
              <w:rPr>
                <w:rFonts w:ascii="Arial" w:hAnsi="Arial" w:cs="Arial"/>
                <w:sz w:val="24"/>
                <w:szCs w:val="24"/>
              </w:rPr>
              <w:t xml:space="preserve">Wendy Cloe, Senior Manager, </w:t>
            </w:r>
            <w:proofErr w:type="spellStart"/>
            <w:r>
              <w:rPr>
                <w:rFonts w:ascii="Arial" w:hAnsi="Arial" w:cs="Arial"/>
                <w:sz w:val="24"/>
                <w:szCs w:val="24"/>
              </w:rPr>
              <w:t>MyMatrixx</w:t>
            </w:r>
            <w:proofErr w:type="spellEnd"/>
          </w:p>
          <w:p w14:paraId="5E8B638B" w14:textId="58A5F324" w:rsidR="00135B9E" w:rsidRDefault="00135B9E" w:rsidP="00135B9E">
            <w:pPr>
              <w:rPr>
                <w:rFonts w:ascii="Arial" w:hAnsi="Arial" w:cs="Arial"/>
                <w:sz w:val="24"/>
                <w:szCs w:val="24"/>
              </w:rPr>
            </w:pPr>
            <w:r>
              <w:rPr>
                <w:rFonts w:ascii="Arial" w:hAnsi="Arial" w:cs="Arial"/>
                <w:sz w:val="24"/>
                <w:szCs w:val="24"/>
              </w:rPr>
              <w:t>October 23, 2024</w:t>
            </w:r>
          </w:p>
          <w:p w14:paraId="10E8635C" w14:textId="28D55EFB" w:rsidR="00135B9E" w:rsidRDefault="00135B9E" w:rsidP="00135B9E">
            <w:pPr>
              <w:rPr>
                <w:rFonts w:ascii="Arial" w:hAnsi="Arial" w:cs="Arial"/>
                <w:sz w:val="24"/>
                <w:szCs w:val="24"/>
              </w:rPr>
            </w:pPr>
            <w:r>
              <w:rPr>
                <w:rFonts w:ascii="Arial" w:hAnsi="Arial" w:cs="Arial"/>
                <w:sz w:val="24"/>
                <w:szCs w:val="24"/>
              </w:rPr>
              <w:t>Written Comment</w:t>
            </w:r>
          </w:p>
          <w:p w14:paraId="3131986F" w14:textId="0028FD50" w:rsidR="00135B9E" w:rsidRPr="00C072DC" w:rsidRDefault="00135B9E" w:rsidP="00135B9E">
            <w:pPr>
              <w:rPr>
                <w:rFonts w:ascii="Arial" w:hAnsi="Arial" w:cs="Arial"/>
                <w:sz w:val="24"/>
                <w:szCs w:val="24"/>
              </w:rPr>
            </w:pPr>
          </w:p>
        </w:tc>
        <w:tc>
          <w:tcPr>
            <w:tcW w:w="2903" w:type="dxa"/>
          </w:tcPr>
          <w:p w14:paraId="4EE9263C" w14:textId="77777777" w:rsidR="00135B9E" w:rsidRDefault="00135B9E" w:rsidP="00135B9E">
            <w:pPr>
              <w:rPr>
                <w:rFonts w:ascii="Arial" w:hAnsi="Arial" w:cs="Arial"/>
                <w:sz w:val="24"/>
                <w:szCs w:val="24"/>
              </w:rPr>
            </w:pPr>
            <w:r>
              <w:rPr>
                <w:rFonts w:ascii="Arial" w:hAnsi="Arial" w:cs="Arial"/>
                <w:sz w:val="24"/>
                <w:szCs w:val="24"/>
              </w:rPr>
              <w:t xml:space="preserve">Commenter’s support for the additional time for implementation is noted. DWC is aware that the regulations will require some adjustments to payment and billing systems. DWC is not a trading partner for the fee schedule; it cannot assign “an internal technology partner” to help with implementation and testing within external entities’ myriad technological systems. </w:t>
            </w:r>
            <w:bookmarkStart w:id="0" w:name="_Hlk178685164"/>
            <w:r>
              <w:rPr>
                <w:rFonts w:ascii="Arial" w:hAnsi="Arial" w:cs="Arial"/>
                <w:sz w:val="24"/>
                <w:szCs w:val="24"/>
              </w:rPr>
              <w:t xml:space="preserve">However, DWC anticipates providing some sequential sample </w:t>
            </w:r>
            <w:r>
              <w:rPr>
                <w:rFonts w:ascii="Arial" w:hAnsi="Arial" w:cs="Arial"/>
                <w:sz w:val="24"/>
                <w:szCs w:val="24"/>
              </w:rPr>
              <w:lastRenderedPageBreak/>
              <w:t>Pharmaceutical Fee Data Files and Medi-Cal National Provider Identifier files for use by the public while programming systems.</w:t>
            </w:r>
          </w:p>
          <w:bookmarkEnd w:id="0"/>
          <w:p w14:paraId="56B1A8B3" w14:textId="5F36A873" w:rsidR="00135B9E" w:rsidRPr="00C072DC" w:rsidRDefault="00135B9E" w:rsidP="00135B9E">
            <w:pPr>
              <w:rPr>
                <w:rFonts w:ascii="Arial" w:hAnsi="Arial" w:cs="Arial"/>
                <w:sz w:val="24"/>
                <w:szCs w:val="24"/>
              </w:rPr>
            </w:pPr>
          </w:p>
        </w:tc>
        <w:tc>
          <w:tcPr>
            <w:tcW w:w="2325" w:type="dxa"/>
          </w:tcPr>
          <w:p w14:paraId="78A1B4B7" w14:textId="6965EC3C" w:rsidR="00135B9E" w:rsidRPr="00C072DC" w:rsidRDefault="00135B9E" w:rsidP="00135B9E">
            <w:pPr>
              <w:spacing w:after="120"/>
              <w:rPr>
                <w:rFonts w:ascii="Arial" w:hAnsi="Arial" w:cs="Arial"/>
                <w:sz w:val="24"/>
                <w:szCs w:val="24"/>
              </w:rPr>
            </w:pPr>
            <w:r>
              <w:rPr>
                <w:rFonts w:ascii="Arial" w:hAnsi="Arial" w:cs="Arial"/>
                <w:sz w:val="24"/>
                <w:szCs w:val="24"/>
              </w:rPr>
              <w:lastRenderedPageBreak/>
              <w:t>No action necessary.</w:t>
            </w:r>
          </w:p>
        </w:tc>
      </w:tr>
      <w:tr w:rsidR="00582C6C" w:rsidRPr="00C072DC" w14:paraId="18BD4964" w14:textId="77777777" w:rsidTr="00296934">
        <w:trPr>
          <w:trHeight w:val="100"/>
        </w:trPr>
        <w:tc>
          <w:tcPr>
            <w:tcW w:w="2088" w:type="dxa"/>
          </w:tcPr>
          <w:p w14:paraId="549AF146" w14:textId="14FB900B" w:rsidR="00582C6C" w:rsidRDefault="00582C6C" w:rsidP="00582C6C">
            <w:pPr>
              <w:rPr>
                <w:rFonts w:ascii="Arial" w:hAnsi="Arial" w:cs="Arial"/>
                <w:sz w:val="24"/>
                <w:szCs w:val="24"/>
              </w:rPr>
            </w:pPr>
            <w:r>
              <w:rPr>
                <w:rFonts w:ascii="Arial" w:hAnsi="Arial" w:cs="Arial"/>
                <w:sz w:val="24"/>
                <w:szCs w:val="24"/>
              </w:rPr>
              <w:t>9789.40.3(c)</w:t>
            </w:r>
          </w:p>
        </w:tc>
        <w:tc>
          <w:tcPr>
            <w:tcW w:w="3960" w:type="dxa"/>
          </w:tcPr>
          <w:p w14:paraId="5726E2EB" w14:textId="42A81327" w:rsidR="00582C6C" w:rsidRDefault="00582C6C" w:rsidP="00582C6C">
            <w:pPr>
              <w:spacing w:after="120"/>
              <w:rPr>
                <w:rFonts w:ascii="Arial" w:hAnsi="Arial" w:cs="Arial"/>
                <w:sz w:val="24"/>
                <w:szCs w:val="24"/>
              </w:rPr>
            </w:pPr>
            <w:r>
              <w:rPr>
                <w:rFonts w:ascii="Arial" w:hAnsi="Arial" w:cs="Arial"/>
                <w:sz w:val="24"/>
                <w:szCs w:val="24"/>
              </w:rPr>
              <w:t>Commenter supports the DWC’s decision to remove the distinction between finished and unfinished drug products used in compound medications, and the more complicated “documented paid cost…plus 10% standard for reimbursing pharmacies for those unfinished ingredients.  Commenter opines that this will streamline billing and payment by reducing confusion among industry stakeholders and pharmacies participating in the process.</w:t>
            </w:r>
          </w:p>
        </w:tc>
        <w:tc>
          <w:tcPr>
            <w:tcW w:w="2677" w:type="dxa"/>
          </w:tcPr>
          <w:p w14:paraId="53CD2736" w14:textId="5D1D3A74" w:rsidR="00582C6C" w:rsidRDefault="00582C6C" w:rsidP="00582C6C">
            <w:pPr>
              <w:rPr>
                <w:rFonts w:ascii="Arial" w:hAnsi="Arial" w:cs="Arial"/>
                <w:sz w:val="24"/>
                <w:szCs w:val="24"/>
              </w:rPr>
            </w:pPr>
            <w:r>
              <w:rPr>
                <w:rFonts w:ascii="Arial" w:hAnsi="Arial" w:cs="Arial"/>
                <w:sz w:val="24"/>
                <w:szCs w:val="24"/>
              </w:rPr>
              <w:t xml:space="preserve">Wendy Cloe, Senior Manager, </w:t>
            </w:r>
            <w:proofErr w:type="spellStart"/>
            <w:r>
              <w:rPr>
                <w:rFonts w:ascii="Arial" w:hAnsi="Arial" w:cs="Arial"/>
                <w:sz w:val="24"/>
                <w:szCs w:val="24"/>
              </w:rPr>
              <w:t>MyMatrixx</w:t>
            </w:r>
            <w:proofErr w:type="spellEnd"/>
          </w:p>
          <w:p w14:paraId="00661DCF" w14:textId="77777777" w:rsidR="00582C6C" w:rsidRDefault="00582C6C" w:rsidP="00582C6C">
            <w:pPr>
              <w:rPr>
                <w:rFonts w:ascii="Arial" w:hAnsi="Arial" w:cs="Arial"/>
                <w:sz w:val="24"/>
                <w:szCs w:val="24"/>
              </w:rPr>
            </w:pPr>
            <w:r>
              <w:rPr>
                <w:rFonts w:ascii="Arial" w:hAnsi="Arial" w:cs="Arial"/>
                <w:sz w:val="24"/>
                <w:szCs w:val="24"/>
              </w:rPr>
              <w:t>October 23, 2024</w:t>
            </w:r>
          </w:p>
          <w:p w14:paraId="689243D9" w14:textId="77777777" w:rsidR="00582C6C" w:rsidRDefault="00582C6C" w:rsidP="00582C6C">
            <w:pPr>
              <w:rPr>
                <w:rFonts w:ascii="Arial" w:hAnsi="Arial" w:cs="Arial"/>
                <w:sz w:val="24"/>
                <w:szCs w:val="24"/>
              </w:rPr>
            </w:pPr>
            <w:r>
              <w:rPr>
                <w:rFonts w:ascii="Arial" w:hAnsi="Arial" w:cs="Arial"/>
                <w:sz w:val="24"/>
                <w:szCs w:val="24"/>
              </w:rPr>
              <w:t>Written Comment</w:t>
            </w:r>
          </w:p>
          <w:p w14:paraId="09DC3F12" w14:textId="66221365" w:rsidR="00582C6C" w:rsidRDefault="00582C6C" w:rsidP="00582C6C">
            <w:pPr>
              <w:spacing w:after="120"/>
              <w:rPr>
                <w:rFonts w:ascii="Arial" w:hAnsi="Arial" w:cs="Arial"/>
                <w:sz w:val="24"/>
                <w:szCs w:val="24"/>
              </w:rPr>
            </w:pPr>
          </w:p>
        </w:tc>
        <w:tc>
          <w:tcPr>
            <w:tcW w:w="2903" w:type="dxa"/>
          </w:tcPr>
          <w:p w14:paraId="616C4604" w14:textId="4703E4F0" w:rsidR="00582C6C" w:rsidRDefault="00582C6C" w:rsidP="00582C6C">
            <w:pPr>
              <w:rPr>
                <w:rFonts w:ascii="Arial" w:hAnsi="Arial" w:cs="Arial"/>
                <w:sz w:val="24"/>
                <w:szCs w:val="24"/>
              </w:rPr>
            </w:pPr>
            <w:r>
              <w:rPr>
                <w:rFonts w:ascii="Arial" w:hAnsi="Arial" w:cs="Arial"/>
                <w:sz w:val="24"/>
                <w:szCs w:val="24"/>
              </w:rPr>
              <w:t>DWC notes the support for the modified provision.</w:t>
            </w:r>
          </w:p>
        </w:tc>
        <w:tc>
          <w:tcPr>
            <w:tcW w:w="2325" w:type="dxa"/>
          </w:tcPr>
          <w:p w14:paraId="11C6F54D" w14:textId="0757AA36" w:rsidR="00582C6C" w:rsidRDefault="00582C6C" w:rsidP="00582C6C">
            <w:pPr>
              <w:rPr>
                <w:rFonts w:ascii="Arial" w:hAnsi="Arial" w:cs="Arial"/>
                <w:sz w:val="24"/>
                <w:szCs w:val="24"/>
              </w:rPr>
            </w:pPr>
            <w:r>
              <w:rPr>
                <w:rFonts w:ascii="Arial" w:hAnsi="Arial" w:cs="Arial"/>
                <w:sz w:val="24"/>
                <w:szCs w:val="24"/>
              </w:rPr>
              <w:t>No action necessary.</w:t>
            </w:r>
          </w:p>
        </w:tc>
      </w:tr>
      <w:tr w:rsidR="00D365C1" w:rsidRPr="00C072DC" w14:paraId="7015B6DD" w14:textId="77777777" w:rsidTr="00296934">
        <w:trPr>
          <w:trHeight w:val="100"/>
        </w:trPr>
        <w:tc>
          <w:tcPr>
            <w:tcW w:w="2088" w:type="dxa"/>
          </w:tcPr>
          <w:p w14:paraId="5A68A165" w14:textId="629B388C" w:rsidR="00D365C1" w:rsidRPr="00C072DC" w:rsidRDefault="00D365C1" w:rsidP="00D365C1">
            <w:pPr>
              <w:rPr>
                <w:rFonts w:ascii="Arial" w:hAnsi="Arial" w:cs="Arial"/>
                <w:sz w:val="24"/>
                <w:szCs w:val="24"/>
              </w:rPr>
            </w:pPr>
            <w:r>
              <w:rPr>
                <w:rFonts w:ascii="Arial" w:hAnsi="Arial" w:cs="Arial"/>
                <w:sz w:val="24"/>
                <w:szCs w:val="24"/>
              </w:rPr>
              <w:t>9789.40(a)(1)</w:t>
            </w:r>
          </w:p>
        </w:tc>
        <w:tc>
          <w:tcPr>
            <w:tcW w:w="3960" w:type="dxa"/>
          </w:tcPr>
          <w:p w14:paraId="7B04939A" w14:textId="206221F2" w:rsidR="00D365C1" w:rsidRPr="00C072DC" w:rsidRDefault="00D365C1" w:rsidP="00D365C1">
            <w:pPr>
              <w:spacing w:after="120"/>
              <w:rPr>
                <w:rFonts w:ascii="Arial" w:hAnsi="Arial" w:cs="Arial"/>
                <w:sz w:val="24"/>
                <w:szCs w:val="24"/>
              </w:rPr>
            </w:pPr>
            <w:r>
              <w:rPr>
                <w:rFonts w:ascii="Arial" w:hAnsi="Arial" w:cs="Arial"/>
                <w:sz w:val="24"/>
                <w:szCs w:val="24"/>
              </w:rPr>
              <w:t xml:space="preserve">Commenter opines that guidance is needed regarding drugs that do not have NADAC, WAC, FUL or MAIC reimbursement values. Commenter questions if the DWC </w:t>
            </w:r>
            <w:r>
              <w:rPr>
                <w:rFonts w:ascii="Arial" w:hAnsi="Arial" w:cs="Arial"/>
                <w:sz w:val="24"/>
                <w:szCs w:val="24"/>
              </w:rPr>
              <w:lastRenderedPageBreak/>
              <w:t>intends to establish a “backup” reimbursement benchmark to use in instances where none of the four outlined benchmarks is applicable to an NDC. Commenter states that AWP is an established benchmark in the industry, including in most other states’ workers’ compensation schedules. Commenter states that in rare circumstances the use of AWP or a discount of AWP makes sense. Commenter seeks guidance on how the industry should handle those rare situations.</w:t>
            </w:r>
          </w:p>
        </w:tc>
        <w:tc>
          <w:tcPr>
            <w:tcW w:w="2677" w:type="dxa"/>
          </w:tcPr>
          <w:p w14:paraId="237A6791" w14:textId="7B72A998" w:rsidR="00D365C1" w:rsidRDefault="00D365C1" w:rsidP="00D365C1">
            <w:pPr>
              <w:rPr>
                <w:rFonts w:ascii="Arial" w:hAnsi="Arial" w:cs="Arial"/>
                <w:sz w:val="24"/>
                <w:szCs w:val="24"/>
              </w:rPr>
            </w:pPr>
            <w:r>
              <w:rPr>
                <w:rFonts w:ascii="Arial" w:hAnsi="Arial" w:cs="Arial"/>
                <w:sz w:val="24"/>
                <w:szCs w:val="24"/>
              </w:rPr>
              <w:lastRenderedPageBreak/>
              <w:t xml:space="preserve">Wendy Cloe, Senior Manager, </w:t>
            </w:r>
            <w:proofErr w:type="spellStart"/>
            <w:r>
              <w:rPr>
                <w:rFonts w:ascii="Arial" w:hAnsi="Arial" w:cs="Arial"/>
                <w:sz w:val="24"/>
                <w:szCs w:val="24"/>
              </w:rPr>
              <w:t>MyMatrixx</w:t>
            </w:r>
            <w:proofErr w:type="spellEnd"/>
          </w:p>
          <w:p w14:paraId="29E3E91D" w14:textId="77777777" w:rsidR="00D365C1" w:rsidRDefault="00D365C1" w:rsidP="00D365C1">
            <w:pPr>
              <w:rPr>
                <w:rFonts w:ascii="Arial" w:hAnsi="Arial" w:cs="Arial"/>
                <w:sz w:val="24"/>
                <w:szCs w:val="24"/>
              </w:rPr>
            </w:pPr>
            <w:r>
              <w:rPr>
                <w:rFonts w:ascii="Arial" w:hAnsi="Arial" w:cs="Arial"/>
                <w:sz w:val="24"/>
                <w:szCs w:val="24"/>
              </w:rPr>
              <w:t>October 23, 2024</w:t>
            </w:r>
          </w:p>
          <w:p w14:paraId="2772C34C" w14:textId="77777777" w:rsidR="00D365C1" w:rsidRDefault="00D365C1" w:rsidP="00D365C1">
            <w:pPr>
              <w:rPr>
                <w:rFonts w:ascii="Arial" w:hAnsi="Arial" w:cs="Arial"/>
                <w:sz w:val="24"/>
                <w:szCs w:val="24"/>
              </w:rPr>
            </w:pPr>
            <w:r>
              <w:rPr>
                <w:rFonts w:ascii="Arial" w:hAnsi="Arial" w:cs="Arial"/>
                <w:sz w:val="24"/>
                <w:szCs w:val="24"/>
              </w:rPr>
              <w:t>Written Comment</w:t>
            </w:r>
          </w:p>
          <w:p w14:paraId="799F7B12" w14:textId="58F685A7" w:rsidR="00D365C1" w:rsidRPr="00C072DC" w:rsidRDefault="00D365C1" w:rsidP="00D365C1">
            <w:pPr>
              <w:rPr>
                <w:rFonts w:ascii="Arial" w:hAnsi="Arial" w:cs="Arial"/>
                <w:sz w:val="24"/>
                <w:szCs w:val="24"/>
              </w:rPr>
            </w:pPr>
          </w:p>
        </w:tc>
        <w:tc>
          <w:tcPr>
            <w:tcW w:w="2903" w:type="dxa"/>
          </w:tcPr>
          <w:p w14:paraId="4939DC2D" w14:textId="333B94E5" w:rsidR="004E7B64" w:rsidRDefault="00D365C1" w:rsidP="00D365C1">
            <w:pPr>
              <w:rPr>
                <w:rFonts w:ascii="Arial" w:hAnsi="Arial" w:cs="Arial"/>
                <w:sz w:val="24"/>
                <w:szCs w:val="24"/>
              </w:rPr>
            </w:pPr>
            <w:r>
              <w:rPr>
                <w:rFonts w:ascii="Arial" w:hAnsi="Arial" w:cs="Arial"/>
                <w:sz w:val="24"/>
                <w:szCs w:val="24"/>
              </w:rPr>
              <w:t xml:space="preserve">DWC disagrees that </w:t>
            </w:r>
            <w:r w:rsidR="004E7B64">
              <w:rPr>
                <w:rFonts w:ascii="Arial" w:hAnsi="Arial" w:cs="Arial"/>
                <w:sz w:val="24"/>
                <w:szCs w:val="24"/>
              </w:rPr>
              <w:t>further guidance</w:t>
            </w:r>
            <w:r>
              <w:rPr>
                <w:rFonts w:ascii="Arial" w:hAnsi="Arial" w:cs="Arial"/>
                <w:sz w:val="24"/>
                <w:szCs w:val="24"/>
              </w:rPr>
              <w:t xml:space="preserve"> is needed. </w:t>
            </w:r>
            <w:r w:rsidR="004E7B64">
              <w:rPr>
                <w:rFonts w:ascii="Arial" w:hAnsi="Arial" w:cs="Arial"/>
                <w:sz w:val="24"/>
                <w:szCs w:val="24"/>
              </w:rPr>
              <w:t xml:space="preserve">Commenter has not set forth an example of an NDC that would </w:t>
            </w:r>
            <w:r w:rsidR="004E7B64">
              <w:rPr>
                <w:rFonts w:ascii="Arial" w:hAnsi="Arial" w:cs="Arial"/>
                <w:sz w:val="24"/>
                <w:szCs w:val="24"/>
              </w:rPr>
              <w:lastRenderedPageBreak/>
              <w:t>lack one of the four benchmark prices used by Medi-Cal. The lack of one of these price types for an NDC would be extremely rare and would not warrant a regulatory standard.</w:t>
            </w:r>
          </w:p>
          <w:p w14:paraId="30A3C243" w14:textId="0FCBE538" w:rsidR="00D365C1" w:rsidRDefault="00D365C1" w:rsidP="00D365C1">
            <w:pPr>
              <w:rPr>
                <w:rFonts w:ascii="Arial" w:hAnsi="Arial" w:cs="Arial"/>
                <w:sz w:val="24"/>
                <w:szCs w:val="24"/>
              </w:rPr>
            </w:pPr>
            <w:r>
              <w:rPr>
                <w:rFonts w:ascii="Arial" w:hAnsi="Arial" w:cs="Arial"/>
                <w:sz w:val="24"/>
                <w:szCs w:val="24"/>
              </w:rPr>
              <w:t xml:space="preserve">The “lowest cost” and “no substitution cost” are calculated by DWC based upon the Medi-Cal methodology and data. “Average Wholesale Price” (AWP) is not used in Medi-Cal pharmaceutical reimbursement and is NOT adopted into the workers’ compensation regulations. The revised Medi-Cal methodology was specifically designed to move away from AWP, which the Centers for Medicaid and Medicare Services </w:t>
            </w:r>
            <w:r>
              <w:rPr>
                <w:rFonts w:ascii="Arial" w:hAnsi="Arial" w:cs="Arial"/>
                <w:sz w:val="24"/>
                <w:szCs w:val="24"/>
              </w:rPr>
              <w:lastRenderedPageBreak/>
              <w:t>determined was a flawed methodology.</w:t>
            </w:r>
          </w:p>
          <w:p w14:paraId="15605FFB" w14:textId="77777777" w:rsidR="00D365C1" w:rsidRDefault="00D365C1" w:rsidP="00D365C1">
            <w:pPr>
              <w:rPr>
                <w:rFonts w:ascii="Arial" w:hAnsi="Arial" w:cs="Arial"/>
                <w:sz w:val="24"/>
                <w:szCs w:val="24"/>
              </w:rPr>
            </w:pPr>
            <w:r>
              <w:rPr>
                <w:rFonts w:ascii="Arial" w:hAnsi="Arial" w:cs="Arial"/>
                <w:sz w:val="24"/>
                <w:szCs w:val="24"/>
              </w:rPr>
              <w:t xml:space="preserve">Dept. of Health Care Services specifies the replacement of AWP in its public notice of 3/30/2017, </w:t>
            </w:r>
            <w:hyperlink r:id="rId8" w:history="1">
              <w:r w:rsidRPr="00922CCF">
                <w:rPr>
                  <w:rStyle w:val="Hyperlink"/>
                  <w:rFonts w:ascii="Arial" w:hAnsi="Arial" w:cs="Arial"/>
                  <w:sz w:val="24"/>
                  <w:szCs w:val="24"/>
                </w:rPr>
                <w:t>Proposed Changes to Pharmacy Reimbursement for Covered Outpatient Drugs</w:t>
              </w:r>
            </w:hyperlink>
            <w:r>
              <w:rPr>
                <w:rFonts w:ascii="Arial" w:hAnsi="Arial" w:cs="Arial"/>
                <w:sz w:val="24"/>
                <w:szCs w:val="24"/>
              </w:rPr>
              <w:t>:</w:t>
            </w:r>
          </w:p>
          <w:p w14:paraId="2D4ED948" w14:textId="77777777" w:rsidR="00D365C1" w:rsidRDefault="00D365C1" w:rsidP="00D365C1">
            <w:pPr>
              <w:rPr>
                <w:rFonts w:ascii="Arial" w:hAnsi="Arial" w:cs="Arial"/>
                <w:sz w:val="24"/>
                <w:szCs w:val="24"/>
              </w:rPr>
            </w:pPr>
            <w:r>
              <w:rPr>
                <w:rFonts w:ascii="Arial" w:hAnsi="Arial" w:cs="Arial"/>
                <w:sz w:val="24"/>
                <w:szCs w:val="24"/>
              </w:rPr>
              <w:t>“</w:t>
            </w:r>
            <w:r w:rsidRPr="00922CCF">
              <w:rPr>
                <w:rFonts w:ascii="Arial" w:hAnsi="Arial" w:cs="Arial"/>
                <w:sz w:val="24"/>
                <w:szCs w:val="24"/>
              </w:rPr>
              <w:t xml:space="preserve">Adopt CMS’s National Average Drug Acquisition Cost (NADAC) as the basis for ingredient cost reimbursement. Wholesale Acquisition Cost (WAC) + 0% will be used as the basis for reimbursement when a NADAC is not available. The NADAC and WAC benchmarks will replace Average Wholesale Price (AWP) minus 17% in the existing drug </w:t>
            </w:r>
            <w:r w:rsidRPr="00922CCF">
              <w:rPr>
                <w:rFonts w:ascii="Arial" w:hAnsi="Arial" w:cs="Arial"/>
                <w:sz w:val="24"/>
                <w:szCs w:val="24"/>
              </w:rPr>
              <w:lastRenderedPageBreak/>
              <w:t>ingredient cost reimbursement methodology, which currently reimburses the lowest of AWP minus 17%, the Federal Upper Limit (FUL), Maximum Allowable Ingredient Cost (MAIC), or the pharmacy’s usual and customary (U&amp;C) charge.</w:t>
            </w:r>
            <w:r>
              <w:rPr>
                <w:rFonts w:ascii="Arial" w:hAnsi="Arial" w:cs="Arial"/>
                <w:sz w:val="24"/>
                <w:szCs w:val="24"/>
              </w:rPr>
              <w:t>”</w:t>
            </w:r>
          </w:p>
          <w:p w14:paraId="764152C1" w14:textId="44F2625E" w:rsidR="00D365C1" w:rsidRPr="00C072DC" w:rsidRDefault="00D365C1" w:rsidP="004E7B64">
            <w:pPr>
              <w:spacing w:after="120"/>
              <w:rPr>
                <w:rFonts w:ascii="Arial" w:hAnsi="Arial" w:cs="Arial"/>
                <w:sz w:val="24"/>
                <w:szCs w:val="24"/>
              </w:rPr>
            </w:pPr>
            <w:r>
              <w:rPr>
                <w:rFonts w:ascii="Arial" w:hAnsi="Arial" w:cs="Arial"/>
                <w:sz w:val="24"/>
                <w:szCs w:val="24"/>
              </w:rPr>
              <w:t xml:space="preserve">The proposed methodology was adopted and is set forth in the </w:t>
            </w:r>
            <w:hyperlink r:id="rId9" w:history="1">
              <w:r w:rsidRPr="00922CCF">
                <w:rPr>
                  <w:rStyle w:val="Hyperlink"/>
                  <w:rFonts w:ascii="Arial" w:hAnsi="Arial" w:cs="Arial"/>
                  <w:sz w:val="24"/>
                  <w:szCs w:val="24"/>
                </w:rPr>
                <w:t>CMS-approved California State Plan Amendment 17-0002</w:t>
              </w:r>
            </w:hyperlink>
            <w:r>
              <w:rPr>
                <w:rFonts w:ascii="Arial" w:hAnsi="Arial" w:cs="Arial"/>
                <w:sz w:val="24"/>
                <w:szCs w:val="24"/>
              </w:rPr>
              <w:t>. Welfare &amp; Institutions Code §141.05.451 sets forth the legislative intent to eliminate Average Wholesale Price from the Medi-Cal pricing formula.</w:t>
            </w:r>
          </w:p>
        </w:tc>
        <w:tc>
          <w:tcPr>
            <w:tcW w:w="2325" w:type="dxa"/>
          </w:tcPr>
          <w:p w14:paraId="4310A1A3" w14:textId="3558C041" w:rsidR="00D365C1" w:rsidRPr="00C072DC" w:rsidRDefault="00D365C1" w:rsidP="00D365C1">
            <w:pPr>
              <w:rPr>
                <w:rFonts w:ascii="Arial" w:hAnsi="Arial" w:cs="Arial"/>
                <w:sz w:val="24"/>
                <w:szCs w:val="24"/>
              </w:rPr>
            </w:pPr>
            <w:r>
              <w:rPr>
                <w:rFonts w:ascii="Arial" w:hAnsi="Arial" w:cs="Arial"/>
                <w:sz w:val="24"/>
                <w:szCs w:val="24"/>
              </w:rPr>
              <w:lastRenderedPageBreak/>
              <w:t>No action necessary.</w:t>
            </w:r>
          </w:p>
        </w:tc>
      </w:tr>
      <w:tr w:rsidR="00D365C1" w:rsidRPr="00C072DC" w14:paraId="3F823829" w14:textId="77777777" w:rsidTr="00296934">
        <w:trPr>
          <w:trHeight w:val="100"/>
        </w:trPr>
        <w:tc>
          <w:tcPr>
            <w:tcW w:w="2088" w:type="dxa"/>
          </w:tcPr>
          <w:p w14:paraId="1A94732D" w14:textId="77777777" w:rsidR="00D365C1" w:rsidRDefault="00D365C1" w:rsidP="00D365C1">
            <w:pPr>
              <w:rPr>
                <w:rFonts w:ascii="Arial" w:hAnsi="Arial" w:cs="Arial"/>
                <w:sz w:val="24"/>
                <w:szCs w:val="24"/>
              </w:rPr>
            </w:pPr>
            <w:r>
              <w:rPr>
                <w:rFonts w:ascii="Arial" w:hAnsi="Arial" w:cs="Arial"/>
                <w:sz w:val="24"/>
                <w:szCs w:val="24"/>
              </w:rPr>
              <w:lastRenderedPageBreak/>
              <w:t>9789.40.4(c),</w:t>
            </w:r>
          </w:p>
          <w:p w14:paraId="5C549A99" w14:textId="77777777" w:rsidR="00D365C1" w:rsidRDefault="00D365C1" w:rsidP="00D365C1">
            <w:pPr>
              <w:rPr>
                <w:rFonts w:ascii="Arial" w:hAnsi="Arial" w:cs="Arial"/>
                <w:sz w:val="24"/>
                <w:szCs w:val="24"/>
              </w:rPr>
            </w:pPr>
            <w:r>
              <w:rPr>
                <w:rFonts w:ascii="Arial" w:hAnsi="Arial" w:cs="Arial"/>
                <w:sz w:val="24"/>
                <w:szCs w:val="24"/>
              </w:rPr>
              <w:t>9789.40.6,</w:t>
            </w:r>
          </w:p>
          <w:p w14:paraId="0C153586" w14:textId="5B8D9E44" w:rsidR="00D365C1" w:rsidRPr="00C072DC" w:rsidRDefault="00D365C1" w:rsidP="00D365C1">
            <w:pPr>
              <w:rPr>
                <w:rFonts w:ascii="Arial" w:hAnsi="Arial" w:cs="Arial"/>
                <w:sz w:val="24"/>
                <w:szCs w:val="24"/>
              </w:rPr>
            </w:pPr>
            <w:r>
              <w:rPr>
                <w:rFonts w:ascii="Arial" w:hAnsi="Arial" w:cs="Arial"/>
                <w:sz w:val="24"/>
                <w:szCs w:val="24"/>
              </w:rPr>
              <w:lastRenderedPageBreak/>
              <w:t>9789.40.7</w:t>
            </w:r>
          </w:p>
        </w:tc>
        <w:tc>
          <w:tcPr>
            <w:tcW w:w="3960" w:type="dxa"/>
          </w:tcPr>
          <w:p w14:paraId="24B30543" w14:textId="05C21538" w:rsidR="00D365C1" w:rsidRPr="00C072DC" w:rsidRDefault="00D365C1" w:rsidP="00D365C1">
            <w:pPr>
              <w:spacing w:after="120"/>
              <w:rPr>
                <w:rFonts w:ascii="Arial" w:hAnsi="Arial" w:cs="Arial"/>
                <w:sz w:val="24"/>
                <w:szCs w:val="24"/>
              </w:rPr>
            </w:pPr>
            <w:r>
              <w:rPr>
                <w:rFonts w:ascii="Arial" w:hAnsi="Arial" w:cs="Arial"/>
                <w:sz w:val="24"/>
                <w:szCs w:val="24"/>
              </w:rPr>
              <w:lastRenderedPageBreak/>
              <w:t>Commenter states that the i</w:t>
            </w:r>
            <w:r w:rsidRPr="00982519">
              <w:rPr>
                <w:rFonts w:ascii="Arial" w:hAnsi="Arial" w:cs="Arial"/>
                <w:sz w:val="24"/>
                <w:szCs w:val="24"/>
              </w:rPr>
              <w:t xml:space="preserve">njured worker’s recovery is a priority for </w:t>
            </w:r>
            <w:r>
              <w:rPr>
                <w:rFonts w:ascii="Arial" w:hAnsi="Arial" w:cs="Arial"/>
                <w:sz w:val="24"/>
                <w:szCs w:val="24"/>
              </w:rPr>
              <w:lastRenderedPageBreak/>
              <w:t>her and her organization’s</w:t>
            </w:r>
            <w:r w:rsidRPr="00982519">
              <w:rPr>
                <w:rFonts w:ascii="Arial" w:hAnsi="Arial" w:cs="Arial"/>
                <w:sz w:val="24"/>
                <w:szCs w:val="24"/>
              </w:rPr>
              <w:t xml:space="preserve"> client </w:t>
            </w:r>
            <w:proofErr w:type="gramStart"/>
            <w:r w:rsidRPr="00982519">
              <w:rPr>
                <w:rFonts w:ascii="Arial" w:hAnsi="Arial" w:cs="Arial"/>
                <w:sz w:val="24"/>
                <w:szCs w:val="24"/>
              </w:rPr>
              <w:t>payers</w:t>
            </w:r>
            <w:proofErr w:type="gramEnd"/>
            <w:r>
              <w:rPr>
                <w:rFonts w:ascii="Arial" w:hAnsi="Arial" w:cs="Arial"/>
                <w:sz w:val="24"/>
                <w:szCs w:val="24"/>
              </w:rPr>
              <w:t xml:space="preserve"> and that th</w:t>
            </w:r>
            <w:r w:rsidRPr="00982519">
              <w:rPr>
                <w:rFonts w:ascii="Arial" w:hAnsi="Arial" w:cs="Arial"/>
                <w:sz w:val="24"/>
                <w:szCs w:val="24"/>
              </w:rPr>
              <w:t xml:space="preserve">e pharmacist has an important role in </w:t>
            </w:r>
            <w:r>
              <w:rPr>
                <w:rFonts w:ascii="Arial" w:hAnsi="Arial" w:cs="Arial"/>
                <w:sz w:val="24"/>
                <w:szCs w:val="24"/>
              </w:rPr>
              <w:t>the</w:t>
            </w:r>
            <w:r w:rsidRPr="00982519">
              <w:rPr>
                <w:rFonts w:ascii="Arial" w:hAnsi="Arial" w:cs="Arial"/>
                <w:sz w:val="24"/>
                <w:szCs w:val="24"/>
              </w:rPr>
              <w:t xml:space="preserve"> treatment</w:t>
            </w:r>
            <w:r>
              <w:rPr>
                <w:rFonts w:ascii="Arial" w:hAnsi="Arial" w:cs="Arial"/>
                <w:sz w:val="24"/>
                <w:szCs w:val="24"/>
              </w:rPr>
              <w:t xml:space="preserve"> of injured workers</w:t>
            </w:r>
            <w:r w:rsidRPr="00982519">
              <w:rPr>
                <w:rFonts w:ascii="Arial" w:hAnsi="Arial" w:cs="Arial"/>
                <w:sz w:val="24"/>
                <w:szCs w:val="24"/>
              </w:rPr>
              <w:t xml:space="preserve"> and </w:t>
            </w:r>
            <w:r>
              <w:rPr>
                <w:rFonts w:ascii="Arial" w:hAnsi="Arial" w:cs="Arial"/>
                <w:sz w:val="24"/>
                <w:szCs w:val="24"/>
              </w:rPr>
              <w:t xml:space="preserve">their </w:t>
            </w:r>
            <w:r w:rsidRPr="00982519">
              <w:rPr>
                <w:rFonts w:ascii="Arial" w:hAnsi="Arial" w:cs="Arial"/>
                <w:sz w:val="24"/>
                <w:szCs w:val="24"/>
              </w:rPr>
              <w:t xml:space="preserve">recovery. Pharmacists are uniquely trained and equipped for medication management to ensure patient safety. </w:t>
            </w:r>
            <w:r>
              <w:rPr>
                <w:rFonts w:ascii="Arial" w:hAnsi="Arial" w:cs="Arial"/>
                <w:sz w:val="24"/>
                <w:szCs w:val="24"/>
              </w:rPr>
              <w:t>Commenter opines that when</w:t>
            </w:r>
            <w:r w:rsidRPr="00982519">
              <w:rPr>
                <w:rFonts w:ascii="Arial" w:hAnsi="Arial" w:cs="Arial"/>
                <w:sz w:val="24"/>
                <w:szCs w:val="24"/>
              </w:rPr>
              <w:t xml:space="preserve"> necessary, and usually only in the case of emergency treatment, it would be reasonable for physicians to provide emergency medication. </w:t>
            </w:r>
            <w:r>
              <w:rPr>
                <w:rFonts w:ascii="Arial" w:hAnsi="Arial" w:cs="Arial"/>
                <w:sz w:val="24"/>
                <w:szCs w:val="24"/>
              </w:rPr>
              <w:t>Commenter opines that t</w:t>
            </w:r>
            <w:r w:rsidRPr="00982519">
              <w:rPr>
                <w:rFonts w:ascii="Arial" w:hAnsi="Arial" w:cs="Arial"/>
                <w:sz w:val="24"/>
                <w:szCs w:val="24"/>
              </w:rPr>
              <w:t xml:space="preserve">he inclusion of the new $10.05 physician dispensing fee may unfortunately result in an incentive for physicians to over prescribe leaving the patients safety at risk. </w:t>
            </w:r>
            <w:r>
              <w:rPr>
                <w:rFonts w:ascii="Arial" w:hAnsi="Arial" w:cs="Arial"/>
                <w:sz w:val="24"/>
                <w:szCs w:val="24"/>
              </w:rPr>
              <w:t>Commenter requests that the DWC</w:t>
            </w:r>
            <w:r w:rsidRPr="00982519">
              <w:rPr>
                <w:rFonts w:ascii="Arial" w:hAnsi="Arial" w:cs="Arial"/>
                <w:sz w:val="24"/>
                <w:szCs w:val="24"/>
              </w:rPr>
              <w:t xml:space="preserve"> remove the physician dispensing fee.</w:t>
            </w:r>
          </w:p>
        </w:tc>
        <w:tc>
          <w:tcPr>
            <w:tcW w:w="2677" w:type="dxa"/>
          </w:tcPr>
          <w:p w14:paraId="45727AFE" w14:textId="4B2D8FB3" w:rsidR="00D365C1" w:rsidRDefault="00D365C1" w:rsidP="00D365C1">
            <w:pPr>
              <w:rPr>
                <w:rFonts w:ascii="Arial" w:hAnsi="Arial" w:cs="Arial"/>
                <w:sz w:val="24"/>
                <w:szCs w:val="24"/>
              </w:rPr>
            </w:pPr>
            <w:r>
              <w:rPr>
                <w:rFonts w:ascii="Arial" w:hAnsi="Arial" w:cs="Arial"/>
                <w:sz w:val="24"/>
                <w:szCs w:val="24"/>
              </w:rPr>
              <w:lastRenderedPageBreak/>
              <w:t xml:space="preserve">Wendy Cloe, Senior Manager, </w:t>
            </w:r>
            <w:proofErr w:type="spellStart"/>
            <w:r>
              <w:rPr>
                <w:rFonts w:ascii="Arial" w:hAnsi="Arial" w:cs="Arial"/>
                <w:sz w:val="24"/>
                <w:szCs w:val="24"/>
              </w:rPr>
              <w:t>MyMatrixx</w:t>
            </w:r>
            <w:proofErr w:type="spellEnd"/>
          </w:p>
          <w:p w14:paraId="53E54481" w14:textId="77777777" w:rsidR="00D365C1" w:rsidRDefault="00D365C1" w:rsidP="00D365C1">
            <w:pPr>
              <w:rPr>
                <w:rFonts w:ascii="Arial" w:hAnsi="Arial" w:cs="Arial"/>
                <w:sz w:val="24"/>
                <w:szCs w:val="24"/>
              </w:rPr>
            </w:pPr>
            <w:r>
              <w:rPr>
                <w:rFonts w:ascii="Arial" w:hAnsi="Arial" w:cs="Arial"/>
                <w:sz w:val="24"/>
                <w:szCs w:val="24"/>
              </w:rPr>
              <w:lastRenderedPageBreak/>
              <w:t>October 23, 2024</w:t>
            </w:r>
          </w:p>
          <w:p w14:paraId="1D81E7BA" w14:textId="77777777" w:rsidR="00D365C1" w:rsidRDefault="00D365C1" w:rsidP="00D365C1">
            <w:pPr>
              <w:rPr>
                <w:rFonts w:ascii="Arial" w:hAnsi="Arial" w:cs="Arial"/>
                <w:sz w:val="24"/>
                <w:szCs w:val="24"/>
              </w:rPr>
            </w:pPr>
            <w:r>
              <w:rPr>
                <w:rFonts w:ascii="Arial" w:hAnsi="Arial" w:cs="Arial"/>
                <w:sz w:val="24"/>
                <w:szCs w:val="24"/>
              </w:rPr>
              <w:t>Written Comment</w:t>
            </w:r>
          </w:p>
          <w:p w14:paraId="02DD9BEF" w14:textId="4C2D2191" w:rsidR="00D365C1" w:rsidRPr="00C072DC" w:rsidRDefault="00D365C1" w:rsidP="00D365C1">
            <w:pPr>
              <w:rPr>
                <w:rFonts w:ascii="Arial" w:hAnsi="Arial" w:cs="Arial"/>
                <w:sz w:val="24"/>
                <w:szCs w:val="24"/>
              </w:rPr>
            </w:pPr>
          </w:p>
        </w:tc>
        <w:tc>
          <w:tcPr>
            <w:tcW w:w="2903" w:type="dxa"/>
          </w:tcPr>
          <w:p w14:paraId="6B633D6F" w14:textId="4382E731" w:rsidR="00B5785C" w:rsidRDefault="00D365C1" w:rsidP="00B5785C">
            <w:pPr>
              <w:spacing w:after="120"/>
              <w:rPr>
                <w:rFonts w:ascii="Arial" w:hAnsi="Arial" w:cs="Arial"/>
                <w:sz w:val="24"/>
                <w:szCs w:val="24"/>
              </w:rPr>
            </w:pPr>
            <w:r>
              <w:rPr>
                <w:rFonts w:ascii="Arial" w:hAnsi="Arial" w:cs="Arial"/>
                <w:sz w:val="24"/>
                <w:szCs w:val="24"/>
              </w:rPr>
              <w:lastRenderedPageBreak/>
              <w:t xml:space="preserve">DWC agrees with commenter insofar as </w:t>
            </w:r>
            <w:r>
              <w:rPr>
                <w:rFonts w:ascii="Arial" w:hAnsi="Arial" w:cs="Arial"/>
                <w:sz w:val="24"/>
                <w:szCs w:val="24"/>
              </w:rPr>
              <w:lastRenderedPageBreak/>
              <w:t>she states that the injured worker’s recovery should be the priority.</w:t>
            </w:r>
          </w:p>
          <w:p w14:paraId="0AB3C2F8" w14:textId="572F0FED" w:rsidR="00D365C1" w:rsidRPr="00C072DC" w:rsidRDefault="00B5785C" w:rsidP="00B5785C">
            <w:pPr>
              <w:spacing w:after="120"/>
              <w:rPr>
                <w:rFonts w:ascii="Arial" w:hAnsi="Arial" w:cs="Arial"/>
                <w:sz w:val="24"/>
                <w:szCs w:val="24"/>
              </w:rPr>
            </w:pPr>
            <w:r>
              <w:rPr>
                <w:rFonts w:ascii="Arial" w:hAnsi="Arial" w:cs="Arial"/>
                <w:sz w:val="24"/>
                <w:szCs w:val="24"/>
              </w:rPr>
              <w:t>DWC disagrees with the suggestion to disallow a dispensing fee to the physician.</w:t>
            </w:r>
            <w:r w:rsidR="00D365C1">
              <w:rPr>
                <w:rFonts w:ascii="Arial" w:hAnsi="Arial" w:cs="Arial"/>
                <w:sz w:val="24"/>
                <w:szCs w:val="24"/>
              </w:rPr>
              <w:t xml:space="preserve"> As explained in the Notice of Modification of Proposed Regulations for 15-Day Comment period relating to §9789.40.4, 9789.40.6, 9789.40.7, the injured worker’s access to care is the basis for the decision to allow the dispensing fee for physicians. Although there are some downsides to physician dispensing, the state law does allow physicians to dispense medications to their patients. (Business and Professions Code §4170.) DWC has </w:t>
            </w:r>
            <w:r w:rsidR="00D365C1">
              <w:rPr>
                <w:rFonts w:ascii="Arial" w:hAnsi="Arial" w:cs="Arial"/>
                <w:sz w:val="24"/>
                <w:szCs w:val="24"/>
              </w:rPr>
              <w:lastRenderedPageBreak/>
              <w:t xml:space="preserve">weighed the advantages and disadvantages of allowing a dispensing fee for physicians and has decided that on balance it is warranted. There are </w:t>
            </w:r>
            <w:r w:rsidR="00D365C1" w:rsidRPr="00455B09">
              <w:rPr>
                <w:rFonts w:ascii="Arial" w:hAnsi="Arial" w:cs="Arial"/>
                <w:sz w:val="24"/>
                <w:szCs w:val="24"/>
              </w:rPr>
              <w:t xml:space="preserve">controls on inappropriate prescribing that address potential abuse (e.g. utilization review, prospective authorization formulary rule, etc.) </w:t>
            </w:r>
            <w:r w:rsidR="00D365C1">
              <w:rPr>
                <w:rFonts w:ascii="Arial" w:hAnsi="Arial" w:cs="Arial"/>
                <w:sz w:val="24"/>
                <w:szCs w:val="24"/>
              </w:rPr>
              <w:t>that mitigate the risk that allowance of a physician dispensing fee would incentivize inappropriate dispensing for the purpose of generating a revenue stream.</w:t>
            </w:r>
          </w:p>
        </w:tc>
        <w:tc>
          <w:tcPr>
            <w:tcW w:w="2325" w:type="dxa"/>
          </w:tcPr>
          <w:p w14:paraId="2D4B5ED7" w14:textId="50C8726A" w:rsidR="00D365C1" w:rsidRPr="00C072DC" w:rsidRDefault="009962AD" w:rsidP="00D365C1">
            <w:pPr>
              <w:rPr>
                <w:rFonts w:ascii="Arial" w:hAnsi="Arial" w:cs="Arial"/>
                <w:sz w:val="24"/>
                <w:szCs w:val="24"/>
              </w:rPr>
            </w:pPr>
            <w:r>
              <w:rPr>
                <w:rFonts w:ascii="Arial" w:hAnsi="Arial" w:cs="Arial"/>
                <w:sz w:val="24"/>
                <w:szCs w:val="24"/>
              </w:rPr>
              <w:lastRenderedPageBreak/>
              <w:t>No action necessary.</w:t>
            </w:r>
          </w:p>
        </w:tc>
      </w:tr>
      <w:tr w:rsidR="00D365C1" w:rsidRPr="00C072DC" w14:paraId="520B6277" w14:textId="77777777" w:rsidTr="00296934">
        <w:trPr>
          <w:trHeight w:val="100"/>
        </w:trPr>
        <w:tc>
          <w:tcPr>
            <w:tcW w:w="2088" w:type="dxa"/>
          </w:tcPr>
          <w:p w14:paraId="181EEF46" w14:textId="18AFAB20" w:rsidR="00D365C1" w:rsidRDefault="00D365C1" w:rsidP="00D365C1">
            <w:pPr>
              <w:rPr>
                <w:rFonts w:ascii="Arial" w:hAnsi="Arial" w:cs="Arial"/>
                <w:sz w:val="24"/>
                <w:szCs w:val="24"/>
              </w:rPr>
            </w:pPr>
            <w:r>
              <w:rPr>
                <w:rFonts w:ascii="Arial" w:hAnsi="Arial" w:cs="Arial"/>
                <w:sz w:val="24"/>
                <w:szCs w:val="24"/>
              </w:rPr>
              <w:lastRenderedPageBreak/>
              <w:t>9789.40.1</w:t>
            </w:r>
          </w:p>
        </w:tc>
        <w:tc>
          <w:tcPr>
            <w:tcW w:w="3960" w:type="dxa"/>
          </w:tcPr>
          <w:p w14:paraId="75CE13A3" w14:textId="69C8FE4A" w:rsidR="00D365C1" w:rsidRPr="00C072DC" w:rsidRDefault="00D365C1" w:rsidP="009962AD">
            <w:pPr>
              <w:pStyle w:val="Heading1"/>
              <w:spacing w:after="120"/>
              <w:jc w:val="left"/>
              <w:rPr>
                <w:rFonts w:ascii="Arial" w:hAnsi="Arial" w:cs="Arial"/>
                <w:b w:val="0"/>
                <w:sz w:val="24"/>
                <w:szCs w:val="24"/>
              </w:rPr>
            </w:pPr>
            <w:r>
              <w:rPr>
                <w:rFonts w:ascii="Arial" w:hAnsi="Arial" w:cs="Arial"/>
                <w:b w:val="0"/>
                <w:sz w:val="24"/>
                <w:szCs w:val="24"/>
              </w:rPr>
              <w:t xml:space="preserve">Commenter appreciates that the DWC updated the sample files in this latest commenter period.  Commenter requests that the DWC establish a consistent plan for weekly updates to the fee schedule and NPI files </w:t>
            </w:r>
            <w:proofErr w:type="gramStart"/>
            <w:r>
              <w:rPr>
                <w:rFonts w:ascii="Arial" w:hAnsi="Arial" w:cs="Arial"/>
                <w:b w:val="0"/>
                <w:sz w:val="24"/>
                <w:szCs w:val="24"/>
              </w:rPr>
              <w:t>in order to</w:t>
            </w:r>
            <w:proofErr w:type="gramEnd"/>
            <w:r>
              <w:rPr>
                <w:rFonts w:ascii="Arial" w:hAnsi="Arial" w:cs="Arial"/>
                <w:b w:val="0"/>
                <w:sz w:val="24"/>
                <w:szCs w:val="24"/>
              </w:rPr>
              <w:t xml:space="preserve"> </w:t>
            </w:r>
            <w:r>
              <w:rPr>
                <w:rFonts w:ascii="Arial" w:hAnsi="Arial" w:cs="Arial"/>
                <w:b w:val="0"/>
                <w:sz w:val="24"/>
                <w:szCs w:val="24"/>
              </w:rPr>
              <w:lastRenderedPageBreak/>
              <w:t>provide a level of certainty for stakeholders and ensure timely compliance.</w:t>
            </w:r>
          </w:p>
        </w:tc>
        <w:tc>
          <w:tcPr>
            <w:tcW w:w="2677" w:type="dxa"/>
          </w:tcPr>
          <w:p w14:paraId="7B9151AA" w14:textId="34DA33AF" w:rsidR="00D365C1" w:rsidRDefault="00D365C1" w:rsidP="00D365C1">
            <w:pPr>
              <w:rPr>
                <w:rFonts w:ascii="Arial" w:hAnsi="Arial" w:cs="Arial"/>
                <w:sz w:val="24"/>
                <w:szCs w:val="24"/>
              </w:rPr>
            </w:pPr>
            <w:r>
              <w:rPr>
                <w:rFonts w:ascii="Arial" w:hAnsi="Arial" w:cs="Arial"/>
                <w:sz w:val="24"/>
                <w:szCs w:val="24"/>
              </w:rPr>
              <w:lastRenderedPageBreak/>
              <w:t xml:space="preserve">Wendy Cloe, Senior Manager, </w:t>
            </w:r>
            <w:proofErr w:type="spellStart"/>
            <w:r>
              <w:rPr>
                <w:rFonts w:ascii="Arial" w:hAnsi="Arial" w:cs="Arial"/>
                <w:sz w:val="24"/>
                <w:szCs w:val="24"/>
              </w:rPr>
              <w:t>MyMatrixx</w:t>
            </w:r>
            <w:proofErr w:type="spellEnd"/>
          </w:p>
          <w:p w14:paraId="10F6D43B" w14:textId="77777777" w:rsidR="00D365C1" w:rsidRDefault="00D365C1" w:rsidP="00D365C1">
            <w:pPr>
              <w:rPr>
                <w:rFonts w:ascii="Arial" w:hAnsi="Arial" w:cs="Arial"/>
                <w:sz w:val="24"/>
                <w:szCs w:val="24"/>
              </w:rPr>
            </w:pPr>
            <w:r>
              <w:rPr>
                <w:rFonts w:ascii="Arial" w:hAnsi="Arial" w:cs="Arial"/>
                <w:sz w:val="24"/>
                <w:szCs w:val="24"/>
              </w:rPr>
              <w:t>October 23, 2024</w:t>
            </w:r>
          </w:p>
          <w:p w14:paraId="68389D71" w14:textId="77777777" w:rsidR="00D365C1" w:rsidRDefault="00D365C1" w:rsidP="00D365C1">
            <w:pPr>
              <w:rPr>
                <w:rFonts w:ascii="Arial" w:hAnsi="Arial" w:cs="Arial"/>
                <w:sz w:val="24"/>
                <w:szCs w:val="24"/>
              </w:rPr>
            </w:pPr>
            <w:r>
              <w:rPr>
                <w:rFonts w:ascii="Arial" w:hAnsi="Arial" w:cs="Arial"/>
                <w:sz w:val="24"/>
                <w:szCs w:val="24"/>
              </w:rPr>
              <w:t>Written Comment</w:t>
            </w:r>
          </w:p>
          <w:p w14:paraId="7DD451CB" w14:textId="5FCA8D68" w:rsidR="00D365C1" w:rsidRDefault="00D365C1" w:rsidP="00D365C1">
            <w:pPr>
              <w:rPr>
                <w:rFonts w:ascii="Arial" w:hAnsi="Arial" w:cs="Arial"/>
                <w:sz w:val="24"/>
                <w:szCs w:val="24"/>
              </w:rPr>
            </w:pPr>
          </w:p>
        </w:tc>
        <w:tc>
          <w:tcPr>
            <w:tcW w:w="2903" w:type="dxa"/>
          </w:tcPr>
          <w:p w14:paraId="5552C312" w14:textId="04B3C9CC" w:rsidR="009962AD" w:rsidRPr="00C072DC" w:rsidRDefault="009962AD" w:rsidP="00D365C1">
            <w:pPr>
              <w:rPr>
                <w:rFonts w:ascii="Arial" w:hAnsi="Arial" w:cs="Arial"/>
                <w:sz w:val="24"/>
                <w:szCs w:val="24"/>
              </w:rPr>
            </w:pPr>
            <w:r>
              <w:rPr>
                <w:rFonts w:ascii="Arial" w:hAnsi="Arial" w:cs="Arial"/>
                <w:sz w:val="24"/>
                <w:szCs w:val="24"/>
              </w:rPr>
              <w:t xml:space="preserve">Commenter’s appreciation for the updated sample files is noted. DWC intends to provide sufficient sample files to aid in stakeholder </w:t>
            </w:r>
            <w:r>
              <w:rPr>
                <w:rFonts w:ascii="Arial" w:hAnsi="Arial" w:cs="Arial"/>
                <w:sz w:val="24"/>
                <w:szCs w:val="24"/>
              </w:rPr>
              <w:lastRenderedPageBreak/>
              <w:t>implementation and compliance.</w:t>
            </w:r>
          </w:p>
        </w:tc>
        <w:tc>
          <w:tcPr>
            <w:tcW w:w="2325" w:type="dxa"/>
          </w:tcPr>
          <w:p w14:paraId="631259C9" w14:textId="0541827D" w:rsidR="00D365C1" w:rsidRPr="00C072DC" w:rsidRDefault="009962AD" w:rsidP="00D365C1">
            <w:pPr>
              <w:rPr>
                <w:rFonts w:ascii="Arial" w:hAnsi="Arial" w:cs="Arial"/>
                <w:sz w:val="24"/>
                <w:szCs w:val="24"/>
              </w:rPr>
            </w:pPr>
            <w:r>
              <w:rPr>
                <w:rFonts w:ascii="Arial" w:hAnsi="Arial" w:cs="Arial"/>
                <w:sz w:val="24"/>
                <w:szCs w:val="24"/>
              </w:rPr>
              <w:lastRenderedPageBreak/>
              <w:t>No action necessary.</w:t>
            </w:r>
          </w:p>
        </w:tc>
      </w:tr>
      <w:tr w:rsidR="00D365C1" w:rsidRPr="00C072DC" w14:paraId="0DF95336" w14:textId="77777777" w:rsidTr="00296934">
        <w:trPr>
          <w:trHeight w:val="100"/>
        </w:trPr>
        <w:tc>
          <w:tcPr>
            <w:tcW w:w="2088" w:type="dxa"/>
          </w:tcPr>
          <w:p w14:paraId="01B1543A" w14:textId="36C52101" w:rsidR="00D365C1" w:rsidRPr="00C072DC" w:rsidRDefault="00D365C1" w:rsidP="00D365C1">
            <w:pPr>
              <w:rPr>
                <w:rFonts w:ascii="Arial" w:hAnsi="Arial" w:cs="Arial"/>
                <w:sz w:val="24"/>
                <w:szCs w:val="24"/>
              </w:rPr>
            </w:pPr>
            <w:r>
              <w:rPr>
                <w:rFonts w:ascii="Arial" w:hAnsi="Arial" w:cs="Arial"/>
                <w:sz w:val="24"/>
                <w:szCs w:val="24"/>
              </w:rPr>
              <w:t>General Comment</w:t>
            </w:r>
          </w:p>
        </w:tc>
        <w:tc>
          <w:tcPr>
            <w:tcW w:w="3960" w:type="dxa"/>
          </w:tcPr>
          <w:p w14:paraId="415DB4CA" w14:textId="1B2BC014" w:rsidR="00D365C1" w:rsidRDefault="00D365C1" w:rsidP="00D365C1">
            <w:pPr>
              <w:pStyle w:val="Heading1"/>
              <w:spacing w:after="120"/>
              <w:jc w:val="left"/>
              <w:rPr>
                <w:rFonts w:ascii="Arial" w:hAnsi="Arial" w:cs="Arial"/>
                <w:b w:val="0"/>
                <w:sz w:val="24"/>
                <w:szCs w:val="24"/>
              </w:rPr>
            </w:pPr>
            <w:r>
              <w:rPr>
                <w:rFonts w:ascii="Arial" w:hAnsi="Arial" w:cs="Arial"/>
                <w:b w:val="0"/>
                <w:sz w:val="24"/>
                <w:szCs w:val="24"/>
              </w:rPr>
              <w:t>Commenter supports the changes as proposed in this latest version of the rule prompting the 2</w:t>
            </w:r>
            <w:r w:rsidRPr="006B25DD">
              <w:rPr>
                <w:rFonts w:ascii="Arial" w:hAnsi="Arial" w:cs="Arial"/>
                <w:b w:val="0"/>
                <w:sz w:val="24"/>
                <w:szCs w:val="24"/>
                <w:vertAlign w:val="superscript"/>
              </w:rPr>
              <w:t>nd</w:t>
            </w:r>
            <w:r>
              <w:rPr>
                <w:rFonts w:ascii="Arial" w:hAnsi="Arial" w:cs="Arial"/>
                <w:b w:val="0"/>
                <w:sz w:val="24"/>
                <w:szCs w:val="24"/>
              </w:rPr>
              <w:t xml:space="preserve"> 15-day comment period. Commenter opines that the clean-up of the reimbursement language for repackaged drugs and documente</w:t>
            </w:r>
            <w:r w:rsidR="009962AD">
              <w:rPr>
                <w:rFonts w:ascii="Arial" w:hAnsi="Arial" w:cs="Arial"/>
                <w:b w:val="0"/>
                <w:sz w:val="24"/>
                <w:szCs w:val="24"/>
              </w:rPr>
              <w:t>d</w:t>
            </w:r>
            <w:r>
              <w:rPr>
                <w:rFonts w:ascii="Arial" w:hAnsi="Arial" w:cs="Arial"/>
                <w:b w:val="0"/>
                <w:sz w:val="24"/>
                <w:szCs w:val="24"/>
              </w:rPr>
              <w:t xml:space="preserve"> paid cost [9789.40.6(c)(d) &amp;(e)] for pharmaceutical dispensed by a physician and the simplification and consolidation of definitions throughout the rule adds clarity to the intent of the fee schedule.</w:t>
            </w:r>
          </w:p>
          <w:p w14:paraId="6CA733E3" w14:textId="30E9E15B" w:rsidR="00D365C1" w:rsidRDefault="00D365C1" w:rsidP="009962AD">
            <w:pPr>
              <w:spacing w:after="120"/>
              <w:rPr>
                <w:rFonts w:ascii="Arial" w:hAnsi="Arial" w:cs="Arial"/>
                <w:sz w:val="24"/>
                <w:szCs w:val="24"/>
              </w:rPr>
            </w:pPr>
            <w:r>
              <w:rPr>
                <w:rFonts w:ascii="Arial" w:hAnsi="Arial" w:cs="Arial"/>
                <w:sz w:val="24"/>
                <w:szCs w:val="24"/>
              </w:rPr>
              <w:t xml:space="preserve">Commenter still has concerns about the tiered dispensing fee and how that will work as it is a new concept that workers’ compensation has not experienced in any other state; however, he looks forward to the support of the </w:t>
            </w:r>
            <w:r>
              <w:rPr>
                <w:rFonts w:ascii="Arial" w:hAnsi="Arial" w:cs="Arial"/>
                <w:sz w:val="24"/>
                <w:szCs w:val="24"/>
              </w:rPr>
              <w:lastRenderedPageBreak/>
              <w:t>DWC as they work through implementing this new schedule.</w:t>
            </w:r>
          </w:p>
          <w:p w14:paraId="4F80173C" w14:textId="77777777" w:rsidR="00D365C1" w:rsidRDefault="00D365C1" w:rsidP="009962AD">
            <w:pPr>
              <w:spacing w:after="120"/>
              <w:rPr>
                <w:rFonts w:ascii="Arial" w:hAnsi="Arial" w:cs="Arial"/>
                <w:sz w:val="24"/>
                <w:szCs w:val="24"/>
              </w:rPr>
            </w:pPr>
            <w:r>
              <w:rPr>
                <w:rFonts w:ascii="Arial" w:hAnsi="Arial" w:cs="Arial"/>
                <w:sz w:val="24"/>
                <w:szCs w:val="24"/>
              </w:rPr>
              <w:t>Commenter states that physician dispensed medication and compounds continue to be cost outliers in the workers’ compensation system.  Commenter appreciates clarification regarding reimbursement for these medications, but requests that the DWC continue to monitor those costs and consider additional restrictions should it become necessary.</w:t>
            </w:r>
          </w:p>
          <w:p w14:paraId="0AF8F044" w14:textId="569920F4" w:rsidR="00D365C1" w:rsidRPr="006B25DD" w:rsidRDefault="00D365C1" w:rsidP="009962AD">
            <w:pPr>
              <w:spacing w:after="120"/>
              <w:rPr>
                <w:rFonts w:ascii="Arial" w:hAnsi="Arial" w:cs="Arial"/>
                <w:sz w:val="24"/>
                <w:szCs w:val="24"/>
              </w:rPr>
            </w:pPr>
            <w:r>
              <w:rPr>
                <w:rFonts w:ascii="Arial" w:hAnsi="Arial" w:cs="Arial"/>
                <w:sz w:val="24"/>
                <w:szCs w:val="24"/>
              </w:rPr>
              <w:t xml:space="preserve">Commenter acknowledges that the DWC is statutorily bound to use the Medi-Cal fee schedule for reimbursement; however, he opines that the California workers’ compensation system would be better served by a workers’ compensation specific pharmaceutical fee schedule that better reflects the additional administrative efforts and clinical </w:t>
            </w:r>
            <w:r>
              <w:rPr>
                <w:rFonts w:ascii="Arial" w:hAnsi="Arial" w:cs="Arial"/>
                <w:sz w:val="24"/>
                <w:szCs w:val="24"/>
              </w:rPr>
              <w:lastRenderedPageBreak/>
              <w:t>controls unique to workers’ compensation and not present in the Medi-Cal system.</w:t>
            </w:r>
          </w:p>
        </w:tc>
        <w:tc>
          <w:tcPr>
            <w:tcW w:w="2677" w:type="dxa"/>
          </w:tcPr>
          <w:p w14:paraId="02C7FBF3" w14:textId="77777777" w:rsidR="00D365C1" w:rsidRDefault="00D365C1" w:rsidP="00D365C1">
            <w:pPr>
              <w:rPr>
                <w:rFonts w:ascii="Arial" w:hAnsi="Arial" w:cs="Arial"/>
                <w:sz w:val="24"/>
                <w:szCs w:val="24"/>
              </w:rPr>
            </w:pPr>
            <w:r>
              <w:rPr>
                <w:rFonts w:ascii="Arial" w:hAnsi="Arial" w:cs="Arial"/>
                <w:sz w:val="24"/>
                <w:szCs w:val="24"/>
              </w:rPr>
              <w:lastRenderedPageBreak/>
              <w:t xml:space="preserve">Brian Allen, Vice President Government Affairs, </w:t>
            </w:r>
            <w:proofErr w:type="spellStart"/>
            <w:r>
              <w:rPr>
                <w:rFonts w:ascii="Arial" w:hAnsi="Arial" w:cs="Arial"/>
                <w:sz w:val="24"/>
                <w:szCs w:val="24"/>
              </w:rPr>
              <w:t>Enlyte</w:t>
            </w:r>
            <w:proofErr w:type="spellEnd"/>
            <w:r>
              <w:rPr>
                <w:rFonts w:ascii="Arial" w:hAnsi="Arial" w:cs="Arial"/>
                <w:sz w:val="24"/>
                <w:szCs w:val="24"/>
              </w:rPr>
              <w:t xml:space="preserve"> Pharmacy Solutions</w:t>
            </w:r>
          </w:p>
          <w:p w14:paraId="46F0BFEB" w14:textId="77777777" w:rsidR="00D365C1" w:rsidRDefault="00D365C1" w:rsidP="00D365C1">
            <w:pPr>
              <w:rPr>
                <w:rFonts w:ascii="Arial" w:hAnsi="Arial" w:cs="Arial"/>
                <w:sz w:val="24"/>
                <w:szCs w:val="24"/>
              </w:rPr>
            </w:pPr>
            <w:r>
              <w:rPr>
                <w:rFonts w:ascii="Arial" w:hAnsi="Arial" w:cs="Arial"/>
                <w:sz w:val="24"/>
                <w:szCs w:val="24"/>
              </w:rPr>
              <w:t>October 23, 2024</w:t>
            </w:r>
          </w:p>
          <w:p w14:paraId="0B262737" w14:textId="560C9990" w:rsidR="00D365C1" w:rsidRPr="00C072DC" w:rsidRDefault="00D365C1" w:rsidP="00D365C1">
            <w:pPr>
              <w:rPr>
                <w:rFonts w:ascii="Arial" w:hAnsi="Arial" w:cs="Arial"/>
                <w:sz w:val="24"/>
                <w:szCs w:val="24"/>
              </w:rPr>
            </w:pPr>
            <w:r>
              <w:rPr>
                <w:rFonts w:ascii="Arial" w:hAnsi="Arial" w:cs="Arial"/>
                <w:sz w:val="24"/>
                <w:szCs w:val="24"/>
              </w:rPr>
              <w:t>Written Comment</w:t>
            </w:r>
          </w:p>
        </w:tc>
        <w:tc>
          <w:tcPr>
            <w:tcW w:w="2903" w:type="dxa"/>
          </w:tcPr>
          <w:p w14:paraId="7C33A17D" w14:textId="77777777" w:rsidR="00D365C1" w:rsidRDefault="0055359A" w:rsidP="0055359A">
            <w:pPr>
              <w:spacing w:after="120"/>
              <w:rPr>
                <w:rFonts w:ascii="Arial" w:hAnsi="Arial" w:cs="Arial"/>
                <w:sz w:val="24"/>
                <w:szCs w:val="24"/>
              </w:rPr>
            </w:pPr>
            <w:r>
              <w:rPr>
                <w:rFonts w:ascii="Arial" w:hAnsi="Arial" w:cs="Arial"/>
                <w:sz w:val="24"/>
                <w:szCs w:val="24"/>
              </w:rPr>
              <w:t>DWC notes commenter’s support for cleanup, consolidation, and simplification of regulatory language.</w:t>
            </w:r>
          </w:p>
          <w:p w14:paraId="770BFA90" w14:textId="2B7607A2" w:rsidR="0055359A" w:rsidRDefault="0055359A" w:rsidP="0055359A">
            <w:pPr>
              <w:spacing w:after="120"/>
              <w:rPr>
                <w:rFonts w:ascii="Arial" w:hAnsi="Arial" w:cs="Arial"/>
                <w:sz w:val="24"/>
                <w:szCs w:val="24"/>
              </w:rPr>
            </w:pPr>
            <w:r>
              <w:rPr>
                <w:rFonts w:ascii="Arial" w:hAnsi="Arial" w:cs="Arial"/>
                <w:sz w:val="24"/>
                <w:szCs w:val="24"/>
              </w:rPr>
              <w:t xml:space="preserve">Regarding the </w:t>
            </w:r>
            <w:r w:rsidR="00B5785C">
              <w:rPr>
                <w:rFonts w:ascii="Arial" w:hAnsi="Arial" w:cs="Arial"/>
                <w:sz w:val="24"/>
                <w:szCs w:val="24"/>
              </w:rPr>
              <w:t>two-tiered</w:t>
            </w:r>
            <w:r>
              <w:rPr>
                <w:rFonts w:ascii="Arial" w:hAnsi="Arial" w:cs="Arial"/>
                <w:sz w:val="24"/>
                <w:szCs w:val="24"/>
              </w:rPr>
              <w:t xml:space="preserve"> dispensing fee, the fee schedule statute requires the regulation to follow the Medi-Cal structure. Labor Code § 5307.1 states in pertinent part that for drugs and pharmacy services “…</w:t>
            </w:r>
            <w:r w:rsidRPr="00B85449">
              <w:rPr>
                <w:rFonts w:ascii="Arial" w:hAnsi="Arial" w:cs="Arial"/>
                <w:sz w:val="24"/>
                <w:szCs w:val="24"/>
              </w:rPr>
              <w:t xml:space="preserve">all fees shall be in accordance with the </w:t>
            </w:r>
            <w:r w:rsidRPr="002A1DAA">
              <w:rPr>
                <w:rFonts w:ascii="Arial" w:hAnsi="Arial" w:cs="Arial"/>
                <w:i/>
                <w:iCs/>
                <w:sz w:val="24"/>
                <w:szCs w:val="24"/>
              </w:rPr>
              <w:t>fee-related structure and rules</w:t>
            </w:r>
            <w:r w:rsidRPr="00B85449">
              <w:rPr>
                <w:rFonts w:ascii="Arial" w:hAnsi="Arial" w:cs="Arial"/>
                <w:sz w:val="24"/>
                <w:szCs w:val="24"/>
              </w:rPr>
              <w:t xml:space="preserve"> of the relevant </w:t>
            </w:r>
            <w:r>
              <w:rPr>
                <w:rFonts w:ascii="Arial" w:hAnsi="Arial" w:cs="Arial"/>
                <w:sz w:val="24"/>
                <w:szCs w:val="24"/>
              </w:rPr>
              <w:t>…</w:t>
            </w:r>
            <w:r w:rsidRPr="00B85449">
              <w:rPr>
                <w:rFonts w:ascii="Arial" w:hAnsi="Arial" w:cs="Arial"/>
                <w:sz w:val="24"/>
                <w:szCs w:val="24"/>
              </w:rPr>
              <w:t xml:space="preserve"> Medi-Cal payment system</w:t>
            </w:r>
            <w:r>
              <w:rPr>
                <w:rFonts w:ascii="Arial" w:hAnsi="Arial" w:cs="Arial"/>
                <w:sz w:val="24"/>
                <w:szCs w:val="24"/>
              </w:rPr>
              <w:t xml:space="preserve">…” [Emphasis added.]  Also, note that the language regarding compounded drugs </w:t>
            </w:r>
            <w:r>
              <w:rPr>
                <w:rFonts w:ascii="Arial" w:hAnsi="Arial" w:cs="Arial"/>
                <w:sz w:val="24"/>
                <w:szCs w:val="24"/>
              </w:rPr>
              <w:lastRenderedPageBreak/>
              <w:t xml:space="preserve">indicates the use of the Medi-Cal dispensing fee; section 5307.1(e)(2) states the maximum fee is </w:t>
            </w:r>
            <w:r>
              <w:rPr>
                <w:rFonts w:ascii="Verdana" w:hAnsi="Verdana"/>
                <w:color w:val="333333"/>
                <w:sz w:val="22"/>
                <w:szCs w:val="22"/>
                <w:shd w:val="clear" w:color="auto" w:fill="FFFFFF"/>
              </w:rPr>
              <w:t>“</w:t>
            </w:r>
            <w:r w:rsidRPr="00B85449">
              <w:rPr>
                <w:rFonts w:ascii="Arial" w:hAnsi="Arial" w:cs="Arial"/>
                <w:sz w:val="24"/>
                <w:szCs w:val="24"/>
              </w:rPr>
              <w:t xml:space="preserve">based on the sum of the allowable fee for each ingredient plus a dispensing fee </w:t>
            </w:r>
            <w:r w:rsidRPr="00B85449">
              <w:rPr>
                <w:rFonts w:ascii="Arial" w:hAnsi="Arial" w:cs="Arial"/>
                <w:i/>
                <w:iCs/>
                <w:sz w:val="24"/>
                <w:szCs w:val="24"/>
              </w:rPr>
              <w:t>equal to the dispensing fee allowed by the Medi-Cal payment systems</w:t>
            </w:r>
            <w:r w:rsidRPr="00B85449">
              <w:rPr>
                <w:rFonts w:ascii="Arial" w:hAnsi="Arial" w:cs="Arial"/>
                <w:sz w:val="24"/>
                <w:szCs w:val="24"/>
              </w:rPr>
              <w:t>.</w:t>
            </w:r>
            <w:r>
              <w:rPr>
                <w:rFonts w:ascii="Arial" w:hAnsi="Arial" w:cs="Arial"/>
                <w:sz w:val="24"/>
                <w:szCs w:val="24"/>
              </w:rPr>
              <w:t>” [Emphasis added.]</w:t>
            </w:r>
          </w:p>
          <w:p w14:paraId="51BB3087" w14:textId="21F21AE7" w:rsidR="0055359A" w:rsidRPr="00C072DC" w:rsidRDefault="0055359A" w:rsidP="0055359A">
            <w:pPr>
              <w:spacing w:after="120"/>
              <w:rPr>
                <w:rFonts w:ascii="Arial" w:hAnsi="Arial" w:cs="Arial"/>
                <w:sz w:val="24"/>
                <w:szCs w:val="24"/>
              </w:rPr>
            </w:pPr>
          </w:p>
        </w:tc>
        <w:tc>
          <w:tcPr>
            <w:tcW w:w="2325" w:type="dxa"/>
          </w:tcPr>
          <w:p w14:paraId="15418789" w14:textId="3AE83BF3" w:rsidR="00D365C1" w:rsidRPr="00C072DC" w:rsidRDefault="0055359A" w:rsidP="00D365C1">
            <w:pPr>
              <w:rPr>
                <w:rFonts w:ascii="Arial" w:hAnsi="Arial" w:cs="Arial"/>
                <w:sz w:val="24"/>
                <w:szCs w:val="24"/>
              </w:rPr>
            </w:pPr>
            <w:r>
              <w:rPr>
                <w:rFonts w:ascii="Arial" w:hAnsi="Arial" w:cs="Arial"/>
                <w:sz w:val="24"/>
                <w:szCs w:val="24"/>
              </w:rPr>
              <w:lastRenderedPageBreak/>
              <w:t>No action necessary.</w:t>
            </w:r>
          </w:p>
        </w:tc>
      </w:tr>
      <w:tr w:rsidR="007375B1" w:rsidRPr="00C072DC" w14:paraId="73B99B33" w14:textId="77777777" w:rsidTr="00296934">
        <w:trPr>
          <w:trHeight w:val="100"/>
        </w:trPr>
        <w:tc>
          <w:tcPr>
            <w:tcW w:w="2088" w:type="dxa"/>
          </w:tcPr>
          <w:p w14:paraId="30F9FA30" w14:textId="35FDCA17" w:rsidR="007375B1" w:rsidRPr="00C072DC" w:rsidRDefault="008941F3" w:rsidP="007375B1">
            <w:pPr>
              <w:rPr>
                <w:rFonts w:ascii="Arial" w:hAnsi="Arial" w:cs="Arial"/>
                <w:sz w:val="24"/>
                <w:szCs w:val="24"/>
              </w:rPr>
            </w:pPr>
            <w:r>
              <w:rPr>
                <w:rFonts w:ascii="Arial" w:hAnsi="Arial" w:cs="Arial"/>
                <w:sz w:val="24"/>
                <w:szCs w:val="24"/>
              </w:rPr>
              <w:lastRenderedPageBreak/>
              <w:t>9789.40.1</w:t>
            </w:r>
          </w:p>
        </w:tc>
        <w:tc>
          <w:tcPr>
            <w:tcW w:w="3960" w:type="dxa"/>
          </w:tcPr>
          <w:p w14:paraId="21408DE0" w14:textId="77777777" w:rsidR="007375B1" w:rsidRDefault="007375B1" w:rsidP="007375B1">
            <w:pPr>
              <w:spacing w:after="120"/>
              <w:rPr>
                <w:rFonts w:ascii="Arial" w:hAnsi="Arial" w:cs="Arial"/>
                <w:sz w:val="24"/>
                <w:szCs w:val="24"/>
              </w:rPr>
            </w:pPr>
            <w:r>
              <w:rPr>
                <w:rFonts w:ascii="Arial" w:hAnsi="Arial" w:cs="Arial"/>
                <w:sz w:val="24"/>
                <w:szCs w:val="24"/>
              </w:rPr>
              <w:t>Commenter is disappointed that the 2-tiered dispensing fee is still included in this 2</w:t>
            </w:r>
            <w:r w:rsidRPr="00F946D3">
              <w:rPr>
                <w:rFonts w:ascii="Arial" w:hAnsi="Arial" w:cs="Arial"/>
                <w:sz w:val="24"/>
                <w:szCs w:val="24"/>
                <w:vertAlign w:val="superscript"/>
              </w:rPr>
              <w:t>nd</w:t>
            </w:r>
            <w:r>
              <w:rPr>
                <w:rFonts w:ascii="Arial" w:hAnsi="Arial" w:cs="Arial"/>
                <w:sz w:val="24"/>
                <w:szCs w:val="24"/>
              </w:rPr>
              <w:t xml:space="preserve"> 15 Day version of the proposed regulations.</w:t>
            </w:r>
          </w:p>
          <w:p w14:paraId="00FFC66D" w14:textId="62B8DF66" w:rsidR="007375B1" w:rsidRPr="00024446" w:rsidRDefault="007375B1" w:rsidP="007375B1">
            <w:pPr>
              <w:spacing w:after="120"/>
              <w:rPr>
                <w:rFonts w:ascii="Arial" w:hAnsi="Arial" w:cs="Arial"/>
                <w:sz w:val="24"/>
                <w:szCs w:val="24"/>
              </w:rPr>
            </w:pPr>
            <w:r>
              <w:rPr>
                <w:rFonts w:ascii="Arial" w:hAnsi="Arial" w:cs="Arial"/>
                <w:sz w:val="24"/>
                <w:szCs w:val="24"/>
              </w:rPr>
              <w:t>Commenter opines that these proposed rules should be amended to contain a single dispensing fee, regardless of the operational volume of the pharmacy in question. Commenters states that a single equitable and cost-neutral dispensing fee can be arrived at by performing a high-level analysis to determine how many pharmacies fall into each tier today and arriving at a single figure that would likely end up somewhere in the middle between the two tiers suggested.</w:t>
            </w:r>
          </w:p>
        </w:tc>
        <w:tc>
          <w:tcPr>
            <w:tcW w:w="2677" w:type="dxa"/>
          </w:tcPr>
          <w:p w14:paraId="061F4A07" w14:textId="0D1CECAC" w:rsidR="007375B1" w:rsidRDefault="007375B1" w:rsidP="007375B1">
            <w:pPr>
              <w:rPr>
                <w:rFonts w:ascii="Arial" w:hAnsi="Arial" w:cs="Arial"/>
                <w:sz w:val="24"/>
                <w:szCs w:val="24"/>
              </w:rPr>
            </w:pPr>
            <w:r>
              <w:rPr>
                <w:rFonts w:ascii="Arial" w:hAnsi="Arial" w:cs="Arial"/>
                <w:sz w:val="24"/>
                <w:szCs w:val="24"/>
              </w:rPr>
              <w:t>Lisa Anne Hurt-Forsythe, Vice President, Government Affairs – American Association of Payers, Administrators, and Networks (AAPAN)</w:t>
            </w:r>
          </w:p>
          <w:p w14:paraId="77AF7FCE" w14:textId="77777777" w:rsidR="007375B1" w:rsidRDefault="007375B1" w:rsidP="007375B1">
            <w:pPr>
              <w:rPr>
                <w:rFonts w:ascii="Arial" w:hAnsi="Arial" w:cs="Arial"/>
                <w:sz w:val="24"/>
                <w:szCs w:val="24"/>
              </w:rPr>
            </w:pPr>
            <w:r>
              <w:rPr>
                <w:rFonts w:ascii="Arial" w:hAnsi="Arial" w:cs="Arial"/>
                <w:sz w:val="24"/>
                <w:szCs w:val="24"/>
              </w:rPr>
              <w:t>October 23, 2024</w:t>
            </w:r>
          </w:p>
          <w:p w14:paraId="6F6C05E8" w14:textId="24ADA20D" w:rsidR="007375B1" w:rsidRPr="00C072DC" w:rsidRDefault="007375B1" w:rsidP="007375B1">
            <w:pPr>
              <w:rPr>
                <w:rFonts w:ascii="Arial" w:hAnsi="Arial" w:cs="Arial"/>
                <w:sz w:val="24"/>
                <w:szCs w:val="24"/>
              </w:rPr>
            </w:pPr>
            <w:r>
              <w:rPr>
                <w:rFonts w:ascii="Arial" w:hAnsi="Arial" w:cs="Arial"/>
                <w:sz w:val="24"/>
                <w:szCs w:val="24"/>
              </w:rPr>
              <w:t>Written Comment</w:t>
            </w:r>
          </w:p>
        </w:tc>
        <w:tc>
          <w:tcPr>
            <w:tcW w:w="2903" w:type="dxa"/>
          </w:tcPr>
          <w:p w14:paraId="1E2B8BF9" w14:textId="65A36FF4" w:rsidR="007375B1" w:rsidRPr="00C072DC" w:rsidRDefault="007375B1" w:rsidP="00D85028">
            <w:pPr>
              <w:spacing w:after="120"/>
              <w:rPr>
                <w:rFonts w:ascii="Arial" w:hAnsi="Arial" w:cs="Arial"/>
                <w:sz w:val="24"/>
                <w:szCs w:val="24"/>
              </w:rPr>
            </w:pPr>
            <w:r>
              <w:rPr>
                <w:rFonts w:ascii="Arial" w:hAnsi="Arial" w:cs="Arial"/>
                <w:sz w:val="24"/>
                <w:szCs w:val="24"/>
              </w:rPr>
              <w:t>Disagree; the statute requires the regulation to follow the Medi-Cal structure. Labor Code section 5307.1 states in pertinent part that for drugs and pharmacy services “…</w:t>
            </w:r>
            <w:r w:rsidRPr="00B85449">
              <w:rPr>
                <w:rFonts w:ascii="Arial" w:hAnsi="Arial" w:cs="Arial"/>
                <w:sz w:val="24"/>
                <w:szCs w:val="24"/>
              </w:rPr>
              <w:t xml:space="preserve">all fees shall be in accordance with the </w:t>
            </w:r>
            <w:r w:rsidRPr="002A1DAA">
              <w:rPr>
                <w:rFonts w:ascii="Arial" w:hAnsi="Arial" w:cs="Arial"/>
                <w:i/>
                <w:iCs/>
                <w:sz w:val="24"/>
                <w:szCs w:val="24"/>
              </w:rPr>
              <w:t>fee-related structure and rules</w:t>
            </w:r>
            <w:r w:rsidRPr="00B85449">
              <w:rPr>
                <w:rFonts w:ascii="Arial" w:hAnsi="Arial" w:cs="Arial"/>
                <w:sz w:val="24"/>
                <w:szCs w:val="24"/>
              </w:rPr>
              <w:t xml:space="preserve"> of the relevant </w:t>
            </w:r>
            <w:r>
              <w:rPr>
                <w:rFonts w:ascii="Arial" w:hAnsi="Arial" w:cs="Arial"/>
                <w:sz w:val="24"/>
                <w:szCs w:val="24"/>
              </w:rPr>
              <w:t>…</w:t>
            </w:r>
            <w:r w:rsidRPr="00B85449">
              <w:rPr>
                <w:rFonts w:ascii="Arial" w:hAnsi="Arial" w:cs="Arial"/>
                <w:sz w:val="24"/>
                <w:szCs w:val="24"/>
              </w:rPr>
              <w:t xml:space="preserve"> Medi-Cal payment system</w:t>
            </w:r>
            <w:r>
              <w:rPr>
                <w:rFonts w:ascii="Arial" w:hAnsi="Arial" w:cs="Arial"/>
                <w:sz w:val="24"/>
                <w:szCs w:val="24"/>
              </w:rPr>
              <w:t xml:space="preserve">…” [Emphasis added.]  Regarding compounded drugs, section 5307.1(e)(2) states the maximum fee is </w:t>
            </w:r>
            <w:r>
              <w:rPr>
                <w:rFonts w:ascii="Verdana" w:hAnsi="Verdana"/>
                <w:color w:val="333333"/>
                <w:sz w:val="22"/>
                <w:szCs w:val="22"/>
                <w:shd w:val="clear" w:color="auto" w:fill="FFFFFF"/>
              </w:rPr>
              <w:t>“</w:t>
            </w:r>
            <w:r w:rsidRPr="00B85449">
              <w:rPr>
                <w:rFonts w:ascii="Arial" w:hAnsi="Arial" w:cs="Arial"/>
                <w:sz w:val="24"/>
                <w:szCs w:val="24"/>
              </w:rPr>
              <w:t xml:space="preserve">based on the sum of the allowable fee for each ingredient plus a dispensing fee </w:t>
            </w:r>
            <w:r w:rsidRPr="00B85449">
              <w:rPr>
                <w:rFonts w:ascii="Arial" w:hAnsi="Arial" w:cs="Arial"/>
                <w:i/>
                <w:iCs/>
                <w:sz w:val="24"/>
                <w:szCs w:val="24"/>
              </w:rPr>
              <w:t xml:space="preserve">equal to the dispensing fee allowed by the Medi-Cal </w:t>
            </w:r>
            <w:r w:rsidRPr="00B85449">
              <w:rPr>
                <w:rFonts w:ascii="Arial" w:hAnsi="Arial" w:cs="Arial"/>
                <w:i/>
                <w:iCs/>
                <w:sz w:val="24"/>
                <w:szCs w:val="24"/>
              </w:rPr>
              <w:lastRenderedPageBreak/>
              <w:t>payment systems</w:t>
            </w:r>
            <w:r w:rsidRPr="00B85449">
              <w:rPr>
                <w:rFonts w:ascii="Arial" w:hAnsi="Arial" w:cs="Arial"/>
                <w:sz w:val="24"/>
                <w:szCs w:val="24"/>
              </w:rPr>
              <w:t>.</w:t>
            </w:r>
            <w:r>
              <w:rPr>
                <w:rFonts w:ascii="Arial" w:hAnsi="Arial" w:cs="Arial"/>
                <w:sz w:val="24"/>
                <w:szCs w:val="24"/>
              </w:rPr>
              <w:t>” [Emphasis added.] (Note that for physician-dispensed compounds there is an additional limitation that the reimbursement is limited to 300% of documented paid costs, but in no case more than …$20… above documented paid costs.”)</w:t>
            </w:r>
          </w:p>
        </w:tc>
        <w:tc>
          <w:tcPr>
            <w:tcW w:w="2325" w:type="dxa"/>
          </w:tcPr>
          <w:p w14:paraId="07A583B0" w14:textId="74AC598C" w:rsidR="007375B1" w:rsidRPr="00C072DC" w:rsidRDefault="007375B1" w:rsidP="007375B1">
            <w:pPr>
              <w:rPr>
                <w:rFonts w:ascii="Arial" w:hAnsi="Arial" w:cs="Arial"/>
                <w:sz w:val="24"/>
                <w:szCs w:val="24"/>
              </w:rPr>
            </w:pPr>
            <w:r>
              <w:rPr>
                <w:rFonts w:ascii="Arial" w:hAnsi="Arial" w:cs="Arial"/>
                <w:sz w:val="24"/>
                <w:szCs w:val="24"/>
              </w:rPr>
              <w:lastRenderedPageBreak/>
              <w:t>No action necessary.</w:t>
            </w:r>
          </w:p>
        </w:tc>
      </w:tr>
      <w:tr w:rsidR="007375B1" w:rsidRPr="00C072DC" w14:paraId="41AC248F" w14:textId="77777777" w:rsidTr="00296934">
        <w:trPr>
          <w:trHeight w:val="100"/>
        </w:trPr>
        <w:tc>
          <w:tcPr>
            <w:tcW w:w="2088" w:type="dxa"/>
          </w:tcPr>
          <w:p w14:paraId="0A0D9FF6" w14:textId="77777777" w:rsidR="007375B1" w:rsidRDefault="008941F3" w:rsidP="007375B1">
            <w:pPr>
              <w:rPr>
                <w:rFonts w:ascii="Arial" w:hAnsi="Arial" w:cs="Arial"/>
                <w:sz w:val="24"/>
                <w:szCs w:val="24"/>
              </w:rPr>
            </w:pPr>
            <w:r>
              <w:rPr>
                <w:rFonts w:ascii="Arial" w:hAnsi="Arial" w:cs="Arial"/>
                <w:sz w:val="24"/>
                <w:szCs w:val="24"/>
              </w:rPr>
              <w:t>9789.40.3</w:t>
            </w:r>
          </w:p>
          <w:p w14:paraId="3283F06F" w14:textId="337D7A12" w:rsidR="008941F3" w:rsidRPr="00C072DC" w:rsidRDefault="008941F3" w:rsidP="007375B1">
            <w:pPr>
              <w:rPr>
                <w:rFonts w:ascii="Arial" w:hAnsi="Arial" w:cs="Arial"/>
                <w:sz w:val="24"/>
                <w:szCs w:val="24"/>
              </w:rPr>
            </w:pPr>
            <w:r>
              <w:rPr>
                <w:rFonts w:ascii="Arial" w:hAnsi="Arial" w:cs="Arial"/>
                <w:sz w:val="24"/>
                <w:szCs w:val="24"/>
              </w:rPr>
              <w:t>9789.40.7</w:t>
            </w:r>
          </w:p>
        </w:tc>
        <w:tc>
          <w:tcPr>
            <w:tcW w:w="3960" w:type="dxa"/>
          </w:tcPr>
          <w:p w14:paraId="0AABA460" w14:textId="61CD4F11" w:rsidR="007375B1" w:rsidRPr="007805F7" w:rsidRDefault="007375B1" w:rsidP="007375B1">
            <w:pPr>
              <w:spacing w:after="120"/>
              <w:rPr>
                <w:rFonts w:ascii="Arial" w:hAnsi="Arial" w:cs="Arial"/>
                <w:sz w:val="24"/>
                <w:szCs w:val="24"/>
              </w:rPr>
            </w:pPr>
            <w:r w:rsidRPr="007805F7">
              <w:rPr>
                <w:rFonts w:ascii="Arial" w:hAnsi="Arial" w:cs="Arial"/>
                <w:sz w:val="24"/>
                <w:szCs w:val="24"/>
              </w:rPr>
              <w:t>Commenter appreciates the removal</w:t>
            </w:r>
            <w:r w:rsidR="00D85028">
              <w:rPr>
                <w:rFonts w:ascii="Arial" w:hAnsi="Arial" w:cs="Arial"/>
                <w:sz w:val="24"/>
                <w:szCs w:val="24"/>
              </w:rPr>
              <w:t xml:space="preserve"> of</w:t>
            </w:r>
            <w:r w:rsidRPr="007805F7">
              <w:rPr>
                <w:rFonts w:ascii="Arial" w:hAnsi="Arial" w:cs="Arial"/>
                <w:sz w:val="24"/>
                <w:szCs w:val="24"/>
              </w:rPr>
              <w:t xml:space="preserve"> the “finished” versus “unfinished distinction for reimbursing compound ingredients. Commenter stat</w:t>
            </w:r>
            <w:r w:rsidR="00D85028">
              <w:rPr>
                <w:rFonts w:ascii="Arial" w:hAnsi="Arial" w:cs="Arial"/>
                <w:sz w:val="24"/>
                <w:szCs w:val="24"/>
              </w:rPr>
              <w:t>e</w:t>
            </w:r>
            <w:r w:rsidRPr="007805F7">
              <w:rPr>
                <w:rFonts w:ascii="Arial" w:hAnsi="Arial" w:cs="Arial"/>
                <w:sz w:val="24"/>
                <w:szCs w:val="24"/>
              </w:rPr>
              <w:t xml:space="preserve">s that removing the need to separately identify “unfinished” compound ingredients to reimburse them at a “document paid cost…plus 10%, the DWC has curbed potential complications to the billing and reimbursement process. Commenter opines that if this standard had been included in the </w:t>
            </w:r>
            <w:r w:rsidRPr="007805F7">
              <w:rPr>
                <w:rFonts w:ascii="Arial" w:hAnsi="Arial" w:cs="Arial"/>
                <w:sz w:val="24"/>
                <w:szCs w:val="24"/>
              </w:rPr>
              <w:lastRenderedPageBreak/>
              <w:t>maximum fee methodology for unfinished products, if would have complicated the process, bur</w:t>
            </w:r>
            <w:r w:rsidR="00D85028">
              <w:rPr>
                <w:rFonts w:ascii="Arial" w:hAnsi="Arial" w:cs="Arial"/>
                <w:sz w:val="24"/>
                <w:szCs w:val="24"/>
              </w:rPr>
              <w:t>de</w:t>
            </w:r>
            <w:r w:rsidRPr="007805F7">
              <w:rPr>
                <w:rFonts w:ascii="Arial" w:hAnsi="Arial" w:cs="Arial"/>
                <w:sz w:val="24"/>
                <w:szCs w:val="24"/>
              </w:rPr>
              <w:t>ned pharmacies with additional documentation requirements, and may have led to more disputes between parties.</w:t>
            </w:r>
          </w:p>
        </w:tc>
        <w:tc>
          <w:tcPr>
            <w:tcW w:w="2677" w:type="dxa"/>
          </w:tcPr>
          <w:p w14:paraId="005E9620" w14:textId="77777777" w:rsidR="007375B1" w:rsidRDefault="007375B1" w:rsidP="007375B1">
            <w:pPr>
              <w:rPr>
                <w:rFonts w:ascii="Arial" w:hAnsi="Arial" w:cs="Arial"/>
                <w:sz w:val="24"/>
                <w:szCs w:val="24"/>
              </w:rPr>
            </w:pPr>
            <w:r>
              <w:rPr>
                <w:rFonts w:ascii="Arial" w:hAnsi="Arial" w:cs="Arial"/>
                <w:sz w:val="24"/>
                <w:szCs w:val="24"/>
              </w:rPr>
              <w:lastRenderedPageBreak/>
              <w:t>Lisa Anne Hurt-Forsythe, Vice President, Government Affairs – American Association of Payers, Administrators, and Networks (AAPAN)</w:t>
            </w:r>
          </w:p>
          <w:p w14:paraId="47B20232" w14:textId="77777777" w:rsidR="007375B1" w:rsidRDefault="007375B1" w:rsidP="007375B1">
            <w:pPr>
              <w:rPr>
                <w:rFonts w:ascii="Arial" w:hAnsi="Arial" w:cs="Arial"/>
                <w:sz w:val="24"/>
                <w:szCs w:val="24"/>
              </w:rPr>
            </w:pPr>
            <w:r>
              <w:rPr>
                <w:rFonts w:ascii="Arial" w:hAnsi="Arial" w:cs="Arial"/>
                <w:sz w:val="24"/>
                <w:szCs w:val="24"/>
              </w:rPr>
              <w:t>October 23, 2024</w:t>
            </w:r>
          </w:p>
          <w:p w14:paraId="75CDA660" w14:textId="130B1754" w:rsidR="007375B1" w:rsidRPr="00C072DC" w:rsidRDefault="007375B1" w:rsidP="007375B1">
            <w:pPr>
              <w:rPr>
                <w:rFonts w:ascii="Arial" w:hAnsi="Arial" w:cs="Arial"/>
                <w:sz w:val="24"/>
                <w:szCs w:val="24"/>
              </w:rPr>
            </w:pPr>
            <w:r>
              <w:rPr>
                <w:rFonts w:ascii="Arial" w:hAnsi="Arial" w:cs="Arial"/>
                <w:sz w:val="24"/>
                <w:szCs w:val="24"/>
              </w:rPr>
              <w:t>Written Comment</w:t>
            </w:r>
          </w:p>
        </w:tc>
        <w:tc>
          <w:tcPr>
            <w:tcW w:w="2903" w:type="dxa"/>
          </w:tcPr>
          <w:p w14:paraId="6D74B738" w14:textId="25529C03" w:rsidR="007375B1" w:rsidRPr="00C072DC" w:rsidRDefault="007805F7" w:rsidP="007375B1">
            <w:pPr>
              <w:rPr>
                <w:rFonts w:ascii="Arial" w:hAnsi="Arial" w:cs="Arial"/>
                <w:sz w:val="24"/>
                <w:szCs w:val="24"/>
              </w:rPr>
            </w:pPr>
            <w:r>
              <w:rPr>
                <w:rFonts w:ascii="Arial" w:hAnsi="Arial" w:cs="Arial"/>
                <w:sz w:val="24"/>
                <w:szCs w:val="24"/>
              </w:rPr>
              <w:t>Commenter’s support is noted.</w:t>
            </w:r>
          </w:p>
        </w:tc>
        <w:tc>
          <w:tcPr>
            <w:tcW w:w="2325" w:type="dxa"/>
          </w:tcPr>
          <w:p w14:paraId="31A5D369" w14:textId="2CA83DA8" w:rsidR="007375B1" w:rsidRPr="00C072DC" w:rsidRDefault="007805F7" w:rsidP="007375B1">
            <w:pPr>
              <w:rPr>
                <w:rFonts w:ascii="Arial" w:hAnsi="Arial" w:cs="Arial"/>
                <w:sz w:val="24"/>
                <w:szCs w:val="24"/>
              </w:rPr>
            </w:pPr>
            <w:r>
              <w:rPr>
                <w:rFonts w:ascii="Arial" w:hAnsi="Arial" w:cs="Arial"/>
                <w:sz w:val="24"/>
                <w:szCs w:val="24"/>
              </w:rPr>
              <w:t>No action necessary.</w:t>
            </w:r>
          </w:p>
        </w:tc>
      </w:tr>
      <w:tr w:rsidR="007375B1" w:rsidRPr="00C072DC" w14:paraId="035956D6" w14:textId="77777777" w:rsidTr="00296934">
        <w:trPr>
          <w:trHeight w:val="100"/>
        </w:trPr>
        <w:tc>
          <w:tcPr>
            <w:tcW w:w="2088" w:type="dxa"/>
          </w:tcPr>
          <w:p w14:paraId="1E38DF90" w14:textId="6C0DCA1C" w:rsidR="0013460F" w:rsidRPr="00C072DC" w:rsidRDefault="001952C6" w:rsidP="001952C6">
            <w:pPr>
              <w:rPr>
                <w:rFonts w:ascii="Arial" w:hAnsi="Arial" w:cs="Arial"/>
                <w:sz w:val="24"/>
                <w:szCs w:val="24"/>
              </w:rPr>
            </w:pPr>
            <w:r>
              <w:rPr>
                <w:rFonts w:ascii="Arial" w:hAnsi="Arial" w:cs="Arial"/>
                <w:sz w:val="24"/>
                <w:szCs w:val="24"/>
              </w:rPr>
              <w:t>9789.40.1(a)(2) (A) and (B)</w:t>
            </w:r>
          </w:p>
        </w:tc>
        <w:tc>
          <w:tcPr>
            <w:tcW w:w="3960" w:type="dxa"/>
          </w:tcPr>
          <w:p w14:paraId="50DFF592" w14:textId="72E18EA4" w:rsidR="007375B1" w:rsidRPr="00FD7281" w:rsidRDefault="007375B1" w:rsidP="007375B1">
            <w:pPr>
              <w:spacing w:after="120"/>
              <w:rPr>
                <w:rFonts w:ascii="Arial" w:hAnsi="Arial" w:cs="Arial"/>
                <w:sz w:val="24"/>
                <w:szCs w:val="24"/>
              </w:rPr>
            </w:pPr>
            <w:r w:rsidRPr="00FD7281">
              <w:rPr>
                <w:rFonts w:ascii="Arial" w:hAnsi="Arial" w:cs="Arial"/>
                <w:sz w:val="24"/>
                <w:szCs w:val="24"/>
              </w:rPr>
              <w:t xml:space="preserve">Commenter is disappointed that the DWC retained the $10.05 dispensing fee allowance for physicians that was added to the prior draft version to the regulations.  </w:t>
            </w:r>
            <w:r w:rsidR="005727EF" w:rsidRPr="00FD7281">
              <w:rPr>
                <w:rFonts w:ascii="Arial" w:hAnsi="Arial" w:cs="Arial"/>
                <w:sz w:val="24"/>
                <w:szCs w:val="24"/>
              </w:rPr>
              <w:t>T</w:t>
            </w:r>
            <w:r w:rsidRPr="00FD7281">
              <w:rPr>
                <w:rFonts w:ascii="Arial" w:hAnsi="Arial" w:cs="Arial"/>
                <w:sz w:val="24"/>
                <w:szCs w:val="24"/>
              </w:rPr>
              <w:t>his provision could create financial incentives to utilize comparatively high-cost pharmaceuticals in the absence of proportional improvements to patient care.</w:t>
            </w:r>
          </w:p>
          <w:p w14:paraId="7FEC5897" w14:textId="2DEA13BE" w:rsidR="007375B1" w:rsidRPr="00FD7281" w:rsidRDefault="007375B1" w:rsidP="007375B1">
            <w:pPr>
              <w:spacing w:after="120"/>
              <w:rPr>
                <w:rFonts w:ascii="Arial" w:hAnsi="Arial" w:cs="Arial"/>
                <w:sz w:val="24"/>
                <w:szCs w:val="24"/>
              </w:rPr>
            </w:pPr>
            <w:r w:rsidRPr="00FD7281">
              <w:rPr>
                <w:rFonts w:ascii="Arial" w:hAnsi="Arial" w:cs="Arial"/>
                <w:sz w:val="24"/>
                <w:szCs w:val="24"/>
              </w:rPr>
              <w:t xml:space="preserve">Commenter notes that </w:t>
            </w:r>
            <w:r w:rsidR="00D85028" w:rsidRPr="00FD7281">
              <w:rPr>
                <w:rFonts w:ascii="Arial" w:hAnsi="Arial" w:cs="Arial"/>
                <w:sz w:val="24"/>
                <w:szCs w:val="24"/>
              </w:rPr>
              <w:t xml:space="preserve">in </w:t>
            </w:r>
            <w:r w:rsidRPr="00FD7281">
              <w:rPr>
                <w:rFonts w:ascii="Arial" w:hAnsi="Arial" w:cs="Arial"/>
                <w:sz w:val="24"/>
                <w:szCs w:val="24"/>
              </w:rPr>
              <w:t>the ISOR it was noted that a Workers’ Compensation Research Institute study found that C</w:t>
            </w:r>
            <w:r w:rsidR="00EF3E8D" w:rsidRPr="00FD7281">
              <w:rPr>
                <w:rFonts w:ascii="Arial" w:hAnsi="Arial" w:cs="Arial"/>
                <w:sz w:val="24"/>
                <w:szCs w:val="24"/>
              </w:rPr>
              <w:t>A</w:t>
            </w:r>
            <w:r w:rsidRPr="00FD7281">
              <w:rPr>
                <w:rFonts w:ascii="Arial" w:hAnsi="Arial" w:cs="Arial"/>
                <w:sz w:val="24"/>
                <w:szCs w:val="24"/>
              </w:rPr>
              <w:t xml:space="preserve"> physicians tend to prescribe higher-priced drug formulations more often than pharmacies. The WCRI concluded that financial incentives were </w:t>
            </w:r>
            <w:r w:rsidRPr="00FD7281">
              <w:rPr>
                <w:rFonts w:ascii="Arial" w:hAnsi="Arial" w:cs="Arial"/>
                <w:sz w:val="24"/>
                <w:szCs w:val="24"/>
              </w:rPr>
              <w:lastRenderedPageBreak/>
              <w:t xml:space="preserve">driving this increase in high-cost physician dispensing with no added therapeutic benefits. </w:t>
            </w:r>
            <w:r w:rsidR="00D85028" w:rsidRPr="00FD7281">
              <w:rPr>
                <w:rFonts w:ascii="Arial" w:hAnsi="Arial" w:cs="Arial"/>
                <w:sz w:val="24"/>
                <w:szCs w:val="24"/>
              </w:rPr>
              <w:t>P</w:t>
            </w:r>
            <w:r w:rsidRPr="00FD7281">
              <w:rPr>
                <w:rFonts w:ascii="Arial" w:hAnsi="Arial" w:cs="Arial"/>
                <w:sz w:val="24"/>
                <w:szCs w:val="24"/>
              </w:rPr>
              <w:t>hysician dispensing circumvents important safety checks conducted by pharmacists which increase the chances of prescribing errors.</w:t>
            </w:r>
          </w:p>
          <w:p w14:paraId="76AACEC7" w14:textId="2D2574A0" w:rsidR="007375B1" w:rsidRPr="00FD7281" w:rsidRDefault="007375B1" w:rsidP="007375B1">
            <w:pPr>
              <w:spacing w:after="120"/>
              <w:rPr>
                <w:rFonts w:ascii="Arial" w:hAnsi="Arial" w:cs="Arial"/>
                <w:sz w:val="24"/>
                <w:szCs w:val="24"/>
              </w:rPr>
            </w:pPr>
            <w:r w:rsidRPr="00FD7281">
              <w:rPr>
                <w:rFonts w:ascii="Arial" w:hAnsi="Arial" w:cs="Arial"/>
                <w:sz w:val="24"/>
                <w:szCs w:val="24"/>
              </w:rPr>
              <w:t xml:space="preserve">Commenter states that this topic was also discussed at the </w:t>
            </w:r>
            <w:r w:rsidR="00D85028" w:rsidRPr="00FD7281">
              <w:rPr>
                <w:rFonts w:ascii="Arial" w:hAnsi="Arial" w:cs="Arial"/>
                <w:sz w:val="24"/>
                <w:szCs w:val="24"/>
              </w:rPr>
              <w:t>10/16/</w:t>
            </w:r>
            <w:r w:rsidRPr="00FD7281">
              <w:rPr>
                <w:rFonts w:ascii="Arial" w:hAnsi="Arial" w:cs="Arial"/>
                <w:sz w:val="24"/>
                <w:szCs w:val="24"/>
              </w:rPr>
              <w:t>2024 meeting of the P&amp;T Committee, wherein Mr. Kev</w:t>
            </w:r>
            <w:r w:rsidR="00D85028" w:rsidRPr="00FD7281">
              <w:rPr>
                <w:rFonts w:ascii="Arial" w:hAnsi="Arial" w:cs="Arial"/>
                <w:sz w:val="24"/>
                <w:szCs w:val="24"/>
              </w:rPr>
              <w:t>i</w:t>
            </w:r>
            <w:r w:rsidRPr="00FD7281">
              <w:rPr>
                <w:rFonts w:ascii="Arial" w:hAnsi="Arial" w:cs="Arial"/>
                <w:sz w:val="24"/>
                <w:szCs w:val="24"/>
              </w:rPr>
              <w:t xml:space="preserve">n Gorospe Pharm D (DWC Consultant) provided preliminary data reflecting the disproportionate impact on overall reimbursements paid for “NO”-status drugs dispensed by physicians. Commenter references a table, distributed at this meeting, that depicts aggregated data for drugs dispensed by physicians </w:t>
            </w:r>
            <w:r w:rsidRPr="00FD7281">
              <w:rPr>
                <w:rFonts w:ascii="Arial" w:hAnsi="Arial" w:cs="Arial"/>
                <w:b/>
                <w:bCs/>
                <w:sz w:val="24"/>
                <w:szCs w:val="24"/>
              </w:rPr>
              <w:t xml:space="preserve">[copy of excerpt from table provided upon request.] </w:t>
            </w:r>
            <w:r w:rsidRPr="00FD7281">
              <w:rPr>
                <w:rFonts w:ascii="Arial" w:hAnsi="Arial" w:cs="Arial"/>
                <w:sz w:val="24"/>
                <w:szCs w:val="24"/>
              </w:rPr>
              <w:t xml:space="preserve">Commenter states that even though “Yes” status drugs accounted for 87% of billed lines, the remaining 13% (“NO” </w:t>
            </w:r>
            <w:r w:rsidRPr="00FD7281">
              <w:rPr>
                <w:rFonts w:ascii="Arial" w:hAnsi="Arial" w:cs="Arial"/>
                <w:sz w:val="24"/>
                <w:szCs w:val="24"/>
              </w:rPr>
              <w:lastRenderedPageBreak/>
              <w:t>status) accounted for 45% of overall costs.</w:t>
            </w:r>
          </w:p>
          <w:p w14:paraId="7B4E065F" w14:textId="26805D89" w:rsidR="007375B1" w:rsidRPr="00FD7281" w:rsidRDefault="007375B1" w:rsidP="007375B1">
            <w:pPr>
              <w:spacing w:after="120"/>
              <w:rPr>
                <w:rFonts w:ascii="Arial" w:hAnsi="Arial" w:cs="Arial"/>
                <w:sz w:val="24"/>
                <w:szCs w:val="24"/>
              </w:rPr>
            </w:pPr>
            <w:r w:rsidRPr="00FD7281">
              <w:rPr>
                <w:rFonts w:ascii="Arial" w:hAnsi="Arial" w:cs="Arial"/>
                <w:sz w:val="24"/>
                <w:szCs w:val="24"/>
              </w:rPr>
              <w:t xml:space="preserve">Commenter references a table, also presented at the P&amp;T committee meeting, that depicts aggregated data for drugs dispensed by pharmacies </w:t>
            </w:r>
            <w:r w:rsidRPr="00FD7281">
              <w:rPr>
                <w:rFonts w:ascii="Arial" w:hAnsi="Arial" w:cs="Arial"/>
                <w:b/>
                <w:bCs/>
                <w:sz w:val="24"/>
                <w:szCs w:val="24"/>
              </w:rPr>
              <w:t>[copy of exce</w:t>
            </w:r>
            <w:r w:rsidR="005727EF" w:rsidRPr="00FD7281">
              <w:rPr>
                <w:rFonts w:ascii="Arial" w:hAnsi="Arial" w:cs="Arial"/>
                <w:b/>
                <w:bCs/>
                <w:sz w:val="24"/>
                <w:szCs w:val="24"/>
              </w:rPr>
              <w:t>r</w:t>
            </w:r>
            <w:r w:rsidRPr="00FD7281">
              <w:rPr>
                <w:rFonts w:ascii="Arial" w:hAnsi="Arial" w:cs="Arial"/>
                <w:b/>
                <w:bCs/>
                <w:sz w:val="24"/>
                <w:szCs w:val="24"/>
              </w:rPr>
              <w:t>pt from table provided upon request.]</w:t>
            </w:r>
            <w:r w:rsidRPr="00FD7281">
              <w:rPr>
                <w:rFonts w:ascii="Arial" w:hAnsi="Arial" w:cs="Arial"/>
                <w:sz w:val="24"/>
                <w:szCs w:val="24"/>
              </w:rPr>
              <w:t xml:space="preserve"> In this table the “YES” dispensing rate for pharmacies was 96%, reflecting 80% of total amounts paid. The “NO” dispensing rate was only 4%, versus the 13% for physicians.</w:t>
            </w:r>
          </w:p>
          <w:p w14:paraId="2DEBDBF5" w14:textId="77777777" w:rsidR="007375B1" w:rsidRPr="00FD7281" w:rsidRDefault="007375B1" w:rsidP="007375B1">
            <w:pPr>
              <w:spacing w:after="120"/>
              <w:rPr>
                <w:rFonts w:ascii="Arial" w:hAnsi="Arial" w:cs="Arial"/>
                <w:sz w:val="24"/>
                <w:szCs w:val="24"/>
              </w:rPr>
            </w:pPr>
            <w:r w:rsidRPr="00FD7281">
              <w:rPr>
                <w:rFonts w:ascii="Arial" w:hAnsi="Arial" w:cs="Arial"/>
                <w:sz w:val="24"/>
                <w:szCs w:val="24"/>
              </w:rPr>
              <w:t xml:space="preserve">Commenter opines that the financial incentives to physicians to dispense “No”-status drugs warrants closer investigation, and that this should be considered when including a dispensing fee for these medications. Commenter notes that during the June 2024 public hearing for these proposed regulations that proponents in favor if physician dispensing were physicians that dispense </w:t>
            </w:r>
            <w:r w:rsidRPr="00FD7281">
              <w:rPr>
                <w:rFonts w:ascii="Arial" w:hAnsi="Arial" w:cs="Arial"/>
                <w:sz w:val="24"/>
                <w:szCs w:val="24"/>
              </w:rPr>
              <w:lastRenderedPageBreak/>
              <w:t xml:space="preserve">proportionately more “YES” status drugs. </w:t>
            </w:r>
            <w:proofErr w:type="gramStart"/>
            <w:r w:rsidRPr="00FD7281">
              <w:rPr>
                <w:rFonts w:ascii="Arial" w:hAnsi="Arial" w:cs="Arial"/>
                <w:sz w:val="24"/>
                <w:szCs w:val="24"/>
              </w:rPr>
              <w:t>Low cost</w:t>
            </w:r>
            <w:proofErr w:type="gramEnd"/>
            <w:r w:rsidRPr="00FD7281">
              <w:rPr>
                <w:rFonts w:ascii="Arial" w:hAnsi="Arial" w:cs="Arial"/>
                <w:sz w:val="24"/>
                <w:szCs w:val="24"/>
              </w:rPr>
              <w:t xml:space="preserve"> antibiotics dispensed during a first visit where cited as a common example.  This is not the problematic prescribing practices that she is referring to. </w:t>
            </w:r>
          </w:p>
          <w:p w14:paraId="6BB600A2" w14:textId="77777777" w:rsidR="007375B1" w:rsidRPr="00FD7281" w:rsidRDefault="007375B1" w:rsidP="007375B1">
            <w:pPr>
              <w:spacing w:after="120"/>
              <w:rPr>
                <w:rFonts w:ascii="Arial" w:hAnsi="Arial" w:cs="Arial"/>
                <w:sz w:val="24"/>
                <w:szCs w:val="24"/>
              </w:rPr>
            </w:pPr>
            <w:r w:rsidRPr="00FD7281">
              <w:rPr>
                <w:rFonts w:ascii="Arial" w:hAnsi="Arial" w:cs="Arial"/>
                <w:sz w:val="24"/>
                <w:szCs w:val="24"/>
              </w:rPr>
              <w:t>Commenter states that the DWC should consider drawing a distinction between physician dispensing of “YES” vs. “NO” drugs when determining whether a dispensing fee should be added. Commenter opines that adding a dispensing fee to an expensive “NO” status drug adds even more to the comparatively high costs and creates a perverse incentive to prescribe these medications.</w:t>
            </w:r>
          </w:p>
          <w:p w14:paraId="06E552F6" w14:textId="2B49948B" w:rsidR="007375B1" w:rsidRPr="0013460F" w:rsidRDefault="007375B1" w:rsidP="007375B1">
            <w:pPr>
              <w:spacing w:after="120"/>
              <w:rPr>
                <w:rFonts w:ascii="Arial" w:hAnsi="Arial" w:cs="Arial"/>
                <w:sz w:val="24"/>
                <w:szCs w:val="24"/>
                <w:highlight w:val="yellow"/>
              </w:rPr>
            </w:pPr>
            <w:r w:rsidRPr="00FD7281">
              <w:rPr>
                <w:rFonts w:ascii="Arial" w:hAnsi="Arial" w:cs="Arial"/>
                <w:sz w:val="24"/>
                <w:szCs w:val="24"/>
              </w:rPr>
              <w:t xml:space="preserve">Commenter supports a physician dispensing fee for “YES” drugs but not for the dispensing of </w:t>
            </w:r>
            <w:proofErr w:type="gramStart"/>
            <w:r w:rsidRPr="00FD7281">
              <w:rPr>
                <w:rFonts w:ascii="Arial" w:hAnsi="Arial" w:cs="Arial"/>
                <w:sz w:val="24"/>
                <w:szCs w:val="24"/>
              </w:rPr>
              <w:t>high-cost</w:t>
            </w:r>
            <w:proofErr w:type="gramEnd"/>
            <w:r w:rsidRPr="00FD7281">
              <w:rPr>
                <w:rFonts w:ascii="Arial" w:hAnsi="Arial" w:cs="Arial"/>
                <w:sz w:val="24"/>
                <w:szCs w:val="24"/>
              </w:rPr>
              <w:t xml:space="preserve"> “NO” drugs.</w:t>
            </w:r>
          </w:p>
        </w:tc>
        <w:tc>
          <w:tcPr>
            <w:tcW w:w="2677" w:type="dxa"/>
          </w:tcPr>
          <w:p w14:paraId="20965D8F" w14:textId="77777777" w:rsidR="007375B1" w:rsidRDefault="007375B1" w:rsidP="007375B1">
            <w:pPr>
              <w:rPr>
                <w:rFonts w:ascii="Arial" w:hAnsi="Arial" w:cs="Arial"/>
                <w:sz w:val="24"/>
                <w:szCs w:val="24"/>
              </w:rPr>
            </w:pPr>
            <w:r>
              <w:rPr>
                <w:rFonts w:ascii="Arial" w:hAnsi="Arial" w:cs="Arial"/>
                <w:sz w:val="24"/>
                <w:szCs w:val="24"/>
              </w:rPr>
              <w:lastRenderedPageBreak/>
              <w:t>Lisa Anne Hurt-Forsythe, Vice President, Government Affairs – American Association of Payers, Administrators, and Networks (AAPAN)</w:t>
            </w:r>
          </w:p>
          <w:p w14:paraId="438FF5BD" w14:textId="77777777" w:rsidR="007375B1" w:rsidRDefault="007375B1" w:rsidP="007375B1">
            <w:pPr>
              <w:rPr>
                <w:rFonts w:ascii="Arial" w:hAnsi="Arial" w:cs="Arial"/>
                <w:sz w:val="24"/>
                <w:szCs w:val="24"/>
              </w:rPr>
            </w:pPr>
            <w:r>
              <w:rPr>
                <w:rFonts w:ascii="Arial" w:hAnsi="Arial" w:cs="Arial"/>
                <w:sz w:val="24"/>
                <w:szCs w:val="24"/>
              </w:rPr>
              <w:t>October 23, 2024</w:t>
            </w:r>
          </w:p>
          <w:p w14:paraId="26AC4AF6" w14:textId="04D335BF" w:rsidR="007375B1" w:rsidRDefault="007375B1" w:rsidP="007375B1">
            <w:pPr>
              <w:rPr>
                <w:rFonts w:ascii="Arial" w:hAnsi="Arial" w:cs="Arial"/>
                <w:sz w:val="24"/>
                <w:szCs w:val="24"/>
              </w:rPr>
            </w:pPr>
            <w:r>
              <w:rPr>
                <w:rFonts w:ascii="Arial" w:hAnsi="Arial" w:cs="Arial"/>
                <w:sz w:val="24"/>
                <w:szCs w:val="24"/>
              </w:rPr>
              <w:t>Written Comment</w:t>
            </w:r>
          </w:p>
        </w:tc>
        <w:tc>
          <w:tcPr>
            <w:tcW w:w="2903" w:type="dxa"/>
          </w:tcPr>
          <w:p w14:paraId="799111C3" w14:textId="77777777" w:rsidR="007375B1" w:rsidRDefault="00EF3E8D" w:rsidP="00EF3E8D">
            <w:pPr>
              <w:rPr>
                <w:rFonts w:ascii="Arial" w:hAnsi="Arial" w:cs="Arial"/>
                <w:bCs/>
                <w:sz w:val="24"/>
                <w:szCs w:val="24"/>
              </w:rPr>
            </w:pPr>
            <w:r>
              <w:rPr>
                <w:rFonts w:ascii="Arial" w:hAnsi="Arial" w:cs="Arial"/>
                <w:bCs/>
                <w:sz w:val="24"/>
                <w:szCs w:val="24"/>
              </w:rPr>
              <w:t xml:space="preserve">Disagree with the suggestion to disallow the dispensing fee to physicians. </w:t>
            </w:r>
            <w:r w:rsidRPr="00EF3E8D">
              <w:rPr>
                <w:rFonts w:ascii="Arial" w:hAnsi="Arial" w:cs="Arial"/>
                <w:bCs/>
                <w:sz w:val="24"/>
                <w:szCs w:val="24"/>
              </w:rPr>
              <w:t>DWC has considered the contention that physician dispensed medications warrant a dispensing fee</w:t>
            </w:r>
            <w:r>
              <w:rPr>
                <w:rFonts w:ascii="Arial" w:hAnsi="Arial" w:cs="Arial"/>
                <w:bCs/>
                <w:sz w:val="24"/>
                <w:szCs w:val="24"/>
              </w:rPr>
              <w:t xml:space="preserve"> and has weighed the advantages and disadvantages of allowing the fee. </w:t>
            </w:r>
            <w:r w:rsidRPr="00EF3E8D">
              <w:rPr>
                <w:rFonts w:ascii="Arial" w:hAnsi="Arial" w:cs="Arial"/>
                <w:bCs/>
                <w:sz w:val="24"/>
                <w:szCs w:val="24"/>
              </w:rPr>
              <w:t xml:space="preserve">Changes made to Labor Code section 5307.1 indicate that the legislature was concerned about inappropriate dispensing by physicians and </w:t>
            </w:r>
            <w:r w:rsidRPr="00EF3E8D">
              <w:rPr>
                <w:rFonts w:ascii="Arial" w:hAnsi="Arial" w:cs="Arial"/>
                <w:bCs/>
                <w:sz w:val="24"/>
                <w:szCs w:val="24"/>
              </w:rPr>
              <w:lastRenderedPageBreak/>
              <w:t xml:space="preserve">created additional rules to govern reimbursement for physician dispensed medication. </w:t>
            </w:r>
            <w:r>
              <w:rPr>
                <w:rFonts w:ascii="Arial" w:hAnsi="Arial" w:cs="Arial"/>
                <w:bCs/>
                <w:sz w:val="24"/>
                <w:szCs w:val="24"/>
              </w:rPr>
              <w:t>And some r</w:t>
            </w:r>
            <w:r w:rsidRPr="00EF3E8D">
              <w:rPr>
                <w:rFonts w:ascii="Arial" w:hAnsi="Arial" w:cs="Arial"/>
                <w:bCs/>
                <w:sz w:val="24"/>
                <w:szCs w:val="24"/>
              </w:rPr>
              <w:t xml:space="preserve">esearch studies cited </w:t>
            </w:r>
            <w:r>
              <w:rPr>
                <w:rFonts w:ascii="Arial" w:hAnsi="Arial" w:cs="Arial"/>
                <w:bCs/>
                <w:sz w:val="24"/>
                <w:szCs w:val="24"/>
              </w:rPr>
              <w:t xml:space="preserve">ISOR do suggest </w:t>
            </w:r>
            <w:r w:rsidRPr="00EF3E8D">
              <w:rPr>
                <w:rFonts w:ascii="Arial" w:hAnsi="Arial" w:cs="Arial"/>
                <w:bCs/>
                <w:sz w:val="24"/>
                <w:szCs w:val="24"/>
              </w:rPr>
              <w:t xml:space="preserve">that financial incentives may sometimes skew drug selection and physician dispensing patterns.  </w:t>
            </w:r>
            <w:r>
              <w:rPr>
                <w:rFonts w:ascii="Arial" w:hAnsi="Arial" w:cs="Arial"/>
                <w:bCs/>
                <w:sz w:val="24"/>
                <w:szCs w:val="24"/>
              </w:rPr>
              <w:t>However, DWC</w:t>
            </w:r>
            <w:r w:rsidRPr="00EF3E8D">
              <w:rPr>
                <w:rFonts w:ascii="Arial" w:hAnsi="Arial" w:cs="Arial"/>
                <w:bCs/>
                <w:sz w:val="24"/>
                <w:szCs w:val="24"/>
              </w:rPr>
              <w:t xml:space="preserve"> is aware that physician dispensing </w:t>
            </w:r>
            <w:r>
              <w:rPr>
                <w:rFonts w:ascii="Arial" w:hAnsi="Arial" w:cs="Arial"/>
                <w:bCs/>
                <w:sz w:val="24"/>
                <w:szCs w:val="24"/>
              </w:rPr>
              <w:t xml:space="preserve">may facilitate </w:t>
            </w:r>
            <w:r w:rsidRPr="00EF3E8D">
              <w:rPr>
                <w:rFonts w:ascii="Arial" w:hAnsi="Arial" w:cs="Arial"/>
                <w:bCs/>
                <w:sz w:val="24"/>
                <w:szCs w:val="24"/>
              </w:rPr>
              <w:t>the early initiation of treatment</w:t>
            </w:r>
            <w:r w:rsidRPr="00EF3E8D">
              <w:rPr>
                <w:rFonts w:ascii="Arial" w:hAnsi="Arial" w:cs="Arial"/>
                <w:bCs/>
                <w:sz w:val="24"/>
                <w:szCs w:val="24"/>
              </w:rPr>
              <w:t xml:space="preserve"> </w:t>
            </w:r>
            <w:r>
              <w:rPr>
                <w:rFonts w:ascii="Arial" w:hAnsi="Arial" w:cs="Arial"/>
                <w:bCs/>
                <w:sz w:val="24"/>
                <w:szCs w:val="24"/>
              </w:rPr>
              <w:t xml:space="preserve">and improve access to medications for </w:t>
            </w:r>
            <w:r w:rsidRPr="00EF3E8D">
              <w:rPr>
                <w:rFonts w:ascii="Arial" w:hAnsi="Arial" w:cs="Arial"/>
                <w:bCs/>
                <w:sz w:val="24"/>
                <w:szCs w:val="24"/>
              </w:rPr>
              <w:t>injured workers</w:t>
            </w:r>
            <w:r w:rsidR="00A37B79">
              <w:rPr>
                <w:rFonts w:ascii="Arial" w:hAnsi="Arial" w:cs="Arial"/>
                <w:bCs/>
                <w:sz w:val="24"/>
                <w:szCs w:val="24"/>
              </w:rPr>
              <w:t>, improving health outcomes</w:t>
            </w:r>
            <w:r w:rsidRPr="00EF3E8D">
              <w:rPr>
                <w:rFonts w:ascii="Arial" w:hAnsi="Arial" w:cs="Arial"/>
                <w:bCs/>
                <w:sz w:val="24"/>
                <w:szCs w:val="24"/>
              </w:rPr>
              <w:t xml:space="preserve">. DWC has considered the advantages and disadvantages of providing a dispensing fee to physicians </w:t>
            </w:r>
            <w:proofErr w:type="gramStart"/>
            <w:r w:rsidRPr="00EF3E8D">
              <w:rPr>
                <w:rFonts w:ascii="Arial" w:hAnsi="Arial" w:cs="Arial"/>
                <w:bCs/>
                <w:sz w:val="24"/>
                <w:szCs w:val="24"/>
              </w:rPr>
              <w:t>in light of</w:t>
            </w:r>
            <w:proofErr w:type="gramEnd"/>
            <w:r w:rsidRPr="00EF3E8D">
              <w:rPr>
                <w:rFonts w:ascii="Arial" w:hAnsi="Arial" w:cs="Arial"/>
                <w:bCs/>
                <w:sz w:val="24"/>
                <w:szCs w:val="24"/>
              </w:rPr>
              <w:t xml:space="preserve"> the Business and Professions Code section 4170 that allows a physician to dispense </w:t>
            </w:r>
            <w:r w:rsidRPr="00EF3E8D">
              <w:rPr>
                <w:rFonts w:ascii="Arial" w:hAnsi="Arial" w:cs="Arial"/>
                <w:bCs/>
                <w:sz w:val="24"/>
                <w:szCs w:val="24"/>
              </w:rPr>
              <w:lastRenderedPageBreak/>
              <w:t>to their own patient for a condition they are treating if the specified requirements are met. Labor Code section 5307.1, subdivisions (e)(7) and (e)(8) provide the DWC Administrative Director with additional authority to adopt fee schedule rules specific to physician dispensing. Given this authority, and controls on inappropriate prescribing that address potential abuse (e.g. utilization review, prospective authorization formulary rule, etc.) DWC has determined that on balance the considerations favor a dispensing fee for physician dispensed drugs.</w:t>
            </w:r>
          </w:p>
          <w:p w14:paraId="02BCC97C" w14:textId="77777777" w:rsidR="00A223DC" w:rsidRDefault="007E67E6" w:rsidP="00EF3E8D">
            <w:pPr>
              <w:rPr>
                <w:rFonts w:ascii="Arial" w:hAnsi="Arial" w:cs="Arial"/>
                <w:bCs/>
                <w:sz w:val="24"/>
                <w:szCs w:val="24"/>
              </w:rPr>
            </w:pPr>
            <w:r>
              <w:rPr>
                <w:rFonts w:ascii="Arial" w:hAnsi="Arial" w:cs="Arial"/>
                <w:bCs/>
                <w:sz w:val="24"/>
                <w:szCs w:val="24"/>
              </w:rPr>
              <w:t xml:space="preserve">DWC disagrees with </w:t>
            </w:r>
            <w:r w:rsidR="00A37B79">
              <w:rPr>
                <w:rFonts w:ascii="Arial" w:hAnsi="Arial" w:cs="Arial"/>
                <w:bCs/>
                <w:sz w:val="24"/>
                <w:szCs w:val="24"/>
              </w:rPr>
              <w:t xml:space="preserve">Commenter’s contention </w:t>
            </w:r>
            <w:r w:rsidR="00A37B79">
              <w:rPr>
                <w:rFonts w:ascii="Arial" w:hAnsi="Arial" w:cs="Arial"/>
                <w:bCs/>
                <w:sz w:val="24"/>
                <w:szCs w:val="24"/>
              </w:rPr>
              <w:lastRenderedPageBreak/>
              <w:t>that the</w:t>
            </w:r>
            <w:r>
              <w:rPr>
                <w:rFonts w:ascii="Arial" w:hAnsi="Arial" w:cs="Arial"/>
                <w:bCs/>
                <w:sz w:val="24"/>
                <w:szCs w:val="24"/>
              </w:rPr>
              <w:t xml:space="preserve"> allowance of a dispensing fee should be based upon whether the drug is listed on the Medical Treatment Utilization Schedule Drug List. Drugs on the list are those that have been addressed by the treatment guidelines; other drugs not on the list may very well be medically necessary and appropriate and warrant a dispensing fee.</w:t>
            </w:r>
          </w:p>
          <w:p w14:paraId="5C4ABF3F" w14:textId="04DF8B37" w:rsidR="00A37B79" w:rsidRDefault="007E67E6" w:rsidP="00EF3E8D">
            <w:pPr>
              <w:rPr>
                <w:rFonts w:ascii="Arial" w:hAnsi="Arial" w:cs="Arial"/>
                <w:bCs/>
                <w:sz w:val="24"/>
                <w:szCs w:val="24"/>
              </w:rPr>
            </w:pPr>
            <w:r>
              <w:rPr>
                <w:rFonts w:ascii="Arial" w:hAnsi="Arial" w:cs="Arial"/>
                <w:bCs/>
                <w:sz w:val="24"/>
                <w:szCs w:val="24"/>
              </w:rPr>
              <w:t xml:space="preserve">The drug utilization data </w:t>
            </w:r>
            <w:r w:rsidR="00A37B79">
              <w:rPr>
                <w:rFonts w:ascii="Arial" w:hAnsi="Arial" w:cs="Arial"/>
                <w:bCs/>
                <w:sz w:val="24"/>
                <w:szCs w:val="24"/>
              </w:rPr>
              <w:t xml:space="preserve">presented at the 10/16/2024 Pharmacy &amp; Therapeutics Committee meeting </w:t>
            </w:r>
            <w:r>
              <w:rPr>
                <w:rFonts w:ascii="Arial" w:hAnsi="Arial" w:cs="Arial"/>
                <w:bCs/>
                <w:sz w:val="24"/>
                <w:szCs w:val="24"/>
              </w:rPr>
              <w:t xml:space="preserve">does </w:t>
            </w:r>
            <w:r w:rsidR="00A223DC">
              <w:rPr>
                <w:rFonts w:ascii="Arial" w:hAnsi="Arial" w:cs="Arial"/>
                <w:bCs/>
                <w:sz w:val="24"/>
                <w:szCs w:val="24"/>
              </w:rPr>
              <w:t xml:space="preserve">NOT </w:t>
            </w:r>
            <w:r>
              <w:rPr>
                <w:rFonts w:ascii="Arial" w:hAnsi="Arial" w:cs="Arial"/>
                <w:bCs/>
                <w:sz w:val="24"/>
                <w:szCs w:val="24"/>
              </w:rPr>
              <w:t xml:space="preserve">provide a basis for action on the physician dispensing fees. </w:t>
            </w:r>
            <w:r w:rsidR="00A223DC">
              <w:rPr>
                <w:rFonts w:ascii="Arial" w:hAnsi="Arial" w:cs="Arial"/>
                <w:bCs/>
                <w:sz w:val="24"/>
                <w:szCs w:val="24"/>
              </w:rPr>
              <w:t xml:space="preserve">It is high level aggregate data that is wholly inadequate to discern whether financial </w:t>
            </w:r>
            <w:r w:rsidR="00A223DC">
              <w:rPr>
                <w:rFonts w:ascii="Arial" w:hAnsi="Arial" w:cs="Arial"/>
                <w:bCs/>
                <w:sz w:val="24"/>
                <w:szCs w:val="24"/>
              </w:rPr>
              <w:lastRenderedPageBreak/>
              <w:t>incentives are motivating improper physician dispensing or dispensing of inordinately higher priced drugs.</w:t>
            </w:r>
          </w:p>
          <w:p w14:paraId="3AC47D8F" w14:textId="2AAED3ED" w:rsidR="00A37B79" w:rsidRPr="00C072DC" w:rsidRDefault="00A223DC" w:rsidP="007E1990">
            <w:pPr>
              <w:spacing w:after="120"/>
              <w:rPr>
                <w:rFonts w:ascii="Arial" w:hAnsi="Arial" w:cs="Arial"/>
                <w:sz w:val="24"/>
                <w:szCs w:val="24"/>
              </w:rPr>
            </w:pPr>
            <w:r>
              <w:rPr>
                <w:rFonts w:ascii="Arial" w:hAnsi="Arial" w:cs="Arial"/>
                <w:bCs/>
                <w:sz w:val="24"/>
                <w:szCs w:val="24"/>
              </w:rPr>
              <w:t>Notably, the utilization statistics presented at th</w:t>
            </w:r>
            <w:r w:rsidR="00FD7281">
              <w:rPr>
                <w:rFonts w:ascii="Arial" w:hAnsi="Arial" w:cs="Arial"/>
                <w:bCs/>
                <w:sz w:val="24"/>
                <w:szCs w:val="24"/>
              </w:rPr>
              <w:t>e</w:t>
            </w:r>
            <w:r>
              <w:rPr>
                <w:rFonts w:ascii="Arial" w:hAnsi="Arial" w:cs="Arial"/>
                <w:bCs/>
                <w:sz w:val="24"/>
                <w:szCs w:val="24"/>
              </w:rPr>
              <w:t xml:space="preserve"> meeting are the opposite of what </w:t>
            </w:r>
            <w:r w:rsidR="00FD7281">
              <w:rPr>
                <w:rFonts w:ascii="Arial" w:hAnsi="Arial" w:cs="Arial"/>
                <w:bCs/>
                <w:sz w:val="24"/>
                <w:szCs w:val="24"/>
              </w:rPr>
              <w:t>commenter sets</w:t>
            </w:r>
            <w:r>
              <w:rPr>
                <w:rFonts w:ascii="Arial" w:hAnsi="Arial" w:cs="Arial"/>
                <w:bCs/>
                <w:sz w:val="24"/>
                <w:szCs w:val="24"/>
              </w:rPr>
              <w:t xml:space="preserve"> forth. The table excerpt she states is for physicians was </w:t>
            </w:r>
            <w:proofErr w:type="gramStart"/>
            <w:r>
              <w:rPr>
                <w:rFonts w:ascii="Arial" w:hAnsi="Arial" w:cs="Arial"/>
                <w:bCs/>
                <w:sz w:val="24"/>
                <w:szCs w:val="24"/>
              </w:rPr>
              <w:t>actually the</w:t>
            </w:r>
            <w:proofErr w:type="gramEnd"/>
            <w:r>
              <w:rPr>
                <w:rFonts w:ascii="Arial" w:hAnsi="Arial" w:cs="Arial"/>
                <w:bCs/>
                <w:sz w:val="24"/>
                <w:szCs w:val="24"/>
              </w:rPr>
              <w:t xml:space="preserve"> table for pharmacies. And the table excerpt she presents as the physician table </w:t>
            </w:r>
            <w:r w:rsidR="00FD7281">
              <w:rPr>
                <w:rFonts w:ascii="Arial" w:hAnsi="Arial" w:cs="Arial"/>
                <w:bCs/>
                <w:sz w:val="24"/>
                <w:szCs w:val="24"/>
              </w:rPr>
              <w:t xml:space="preserve">is the pharmacy table. </w:t>
            </w:r>
            <w:r>
              <w:rPr>
                <w:rFonts w:ascii="Arial" w:hAnsi="Arial" w:cs="Arial"/>
                <w:bCs/>
                <w:sz w:val="24"/>
                <w:szCs w:val="24"/>
              </w:rPr>
              <w:t xml:space="preserve">She states that “the </w:t>
            </w:r>
            <w:r w:rsidR="00FD7281">
              <w:rPr>
                <w:rFonts w:ascii="Arial" w:hAnsi="Arial" w:cs="Arial"/>
                <w:bCs/>
                <w:sz w:val="24"/>
                <w:szCs w:val="24"/>
              </w:rPr>
              <w:t>“</w:t>
            </w:r>
            <w:r>
              <w:rPr>
                <w:rFonts w:ascii="Arial" w:hAnsi="Arial" w:cs="Arial"/>
                <w:bCs/>
                <w:sz w:val="24"/>
                <w:szCs w:val="24"/>
              </w:rPr>
              <w:t xml:space="preserve">YES” dispensing rate for pharmacies </w:t>
            </w:r>
            <w:r w:rsidR="00FD7281">
              <w:rPr>
                <w:rFonts w:ascii="Arial" w:hAnsi="Arial" w:cs="Arial"/>
                <w:bCs/>
                <w:sz w:val="24"/>
                <w:szCs w:val="24"/>
              </w:rPr>
              <w:t xml:space="preserve">was 96%, reflecting 80% of total amount paid. The “NO” dispensing rate was only 4% </w:t>
            </w:r>
            <w:r w:rsidR="00FD7281" w:rsidRPr="00FD7281">
              <w:rPr>
                <w:rFonts w:ascii="Arial" w:hAnsi="Arial" w:cs="Arial"/>
                <w:b/>
                <w:sz w:val="24"/>
                <w:szCs w:val="24"/>
              </w:rPr>
              <w:t>versus 13% for physicians</w:t>
            </w:r>
            <w:r w:rsidR="00FD7281">
              <w:rPr>
                <w:rFonts w:ascii="Arial" w:hAnsi="Arial" w:cs="Arial"/>
                <w:bCs/>
                <w:sz w:val="24"/>
                <w:szCs w:val="24"/>
              </w:rPr>
              <w:t xml:space="preserve">.” However, she has cited the </w:t>
            </w:r>
            <w:r w:rsidR="00FD7281" w:rsidRPr="00FD7281">
              <w:rPr>
                <w:rFonts w:ascii="Arial" w:hAnsi="Arial" w:cs="Arial"/>
                <w:bCs/>
                <w:i/>
                <w:iCs/>
                <w:sz w:val="24"/>
                <w:szCs w:val="24"/>
              </w:rPr>
              <w:t xml:space="preserve">wrong </w:t>
            </w:r>
            <w:r w:rsidR="00FD7281" w:rsidRPr="00FD7281">
              <w:rPr>
                <w:rFonts w:ascii="Arial" w:hAnsi="Arial" w:cs="Arial"/>
                <w:bCs/>
                <w:i/>
                <w:iCs/>
                <w:sz w:val="24"/>
                <w:szCs w:val="24"/>
              </w:rPr>
              <w:lastRenderedPageBreak/>
              <w:t>tables</w:t>
            </w:r>
            <w:r w:rsidR="00FD7281">
              <w:rPr>
                <w:rFonts w:ascii="Arial" w:hAnsi="Arial" w:cs="Arial"/>
                <w:bCs/>
                <w:sz w:val="24"/>
                <w:szCs w:val="24"/>
              </w:rPr>
              <w:t>, mixing them up and presenting the opposite of what they say. The physician utilization table showed 96% of billed prescriptions were MTUS drugs, representing 80% of the total paid, contrary to her contention that this is the pharmacy statistic.</w:t>
            </w:r>
          </w:p>
        </w:tc>
        <w:tc>
          <w:tcPr>
            <w:tcW w:w="2325" w:type="dxa"/>
          </w:tcPr>
          <w:p w14:paraId="1F11A7A6" w14:textId="07A9DBA0" w:rsidR="007375B1" w:rsidRPr="00C072DC" w:rsidRDefault="00EF3E8D" w:rsidP="007375B1">
            <w:pPr>
              <w:rPr>
                <w:rFonts w:ascii="Arial" w:hAnsi="Arial" w:cs="Arial"/>
                <w:sz w:val="24"/>
                <w:szCs w:val="24"/>
              </w:rPr>
            </w:pPr>
            <w:r>
              <w:rPr>
                <w:rFonts w:ascii="Arial" w:hAnsi="Arial" w:cs="Arial"/>
                <w:sz w:val="24"/>
                <w:szCs w:val="24"/>
              </w:rPr>
              <w:lastRenderedPageBreak/>
              <w:t>No action necessary.</w:t>
            </w:r>
          </w:p>
        </w:tc>
      </w:tr>
      <w:tr w:rsidR="007805F7" w:rsidRPr="00C072DC" w14:paraId="500354F8" w14:textId="77777777" w:rsidTr="00296934">
        <w:trPr>
          <w:trHeight w:val="100"/>
        </w:trPr>
        <w:tc>
          <w:tcPr>
            <w:tcW w:w="2088" w:type="dxa"/>
          </w:tcPr>
          <w:p w14:paraId="55799B5B" w14:textId="0E133C83" w:rsidR="007805F7" w:rsidRPr="00C072DC" w:rsidRDefault="007805F7" w:rsidP="007805F7">
            <w:pPr>
              <w:rPr>
                <w:rFonts w:ascii="Arial" w:hAnsi="Arial" w:cs="Arial"/>
                <w:sz w:val="24"/>
                <w:szCs w:val="24"/>
              </w:rPr>
            </w:pPr>
            <w:r>
              <w:rPr>
                <w:rFonts w:ascii="Arial" w:hAnsi="Arial" w:cs="Arial"/>
                <w:sz w:val="24"/>
                <w:szCs w:val="24"/>
              </w:rPr>
              <w:lastRenderedPageBreak/>
              <w:t>General Comment</w:t>
            </w:r>
          </w:p>
        </w:tc>
        <w:tc>
          <w:tcPr>
            <w:tcW w:w="3960" w:type="dxa"/>
          </w:tcPr>
          <w:p w14:paraId="3E1481AC" w14:textId="77777777" w:rsidR="007805F7" w:rsidRDefault="007805F7" w:rsidP="007805F7">
            <w:pPr>
              <w:spacing w:after="120"/>
              <w:rPr>
                <w:rFonts w:ascii="Arial" w:hAnsi="Arial" w:cs="Arial"/>
                <w:sz w:val="24"/>
                <w:szCs w:val="24"/>
              </w:rPr>
            </w:pPr>
            <w:r>
              <w:rPr>
                <w:rFonts w:ascii="Arial" w:hAnsi="Arial" w:cs="Arial"/>
                <w:sz w:val="24"/>
                <w:szCs w:val="24"/>
              </w:rPr>
              <w:t>Commenter continues to recommend that these proposed regulations need to be amended to specifically allow a payor to deny payment for medications that have not obtained proper pre-authorization, such as any of the following scenarios:</w:t>
            </w:r>
          </w:p>
          <w:p w14:paraId="24CCC290" w14:textId="77777777" w:rsidR="007805F7" w:rsidRDefault="007805F7" w:rsidP="007E1990">
            <w:pPr>
              <w:pStyle w:val="ListParagraph"/>
              <w:numPr>
                <w:ilvl w:val="0"/>
                <w:numId w:val="27"/>
              </w:numPr>
              <w:spacing w:after="120"/>
              <w:ind w:left="496"/>
              <w:rPr>
                <w:rFonts w:ascii="Arial" w:hAnsi="Arial" w:cs="Arial"/>
                <w:sz w:val="24"/>
                <w:szCs w:val="24"/>
              </w:rPr>
            </w:pPr>
            <w:r>
              <w:rPr>
                <w:rFonts w:ascii="Arial" w:hAnsi="Arial" w:cs="Arial"/>
                <w:sz w:val="24"/>
                <w:szCs w:val="24"/>
              </w:rPr>
              <w:t>Compounded medications with no pre-authorization</w:t>
            </w:r>
          </w:p>
          <w:p w14:paraId="4D34576E" w14:textId="77777777" w:rsidR="007805F7" w:rsidRDefault="007805F7" w:rsidP="007E1990">
            <w:pPr>
              <w:pStyle w:val="ListParagraph"/>
              <w:numPr>
                <w:ilvl w:val="0"/>
                <w:numId w:val="27"/>
              </w:numPr>
              <w:spacing w:after="120"/>
              <w:ind w:left="496"/>
              <w:rPr>
                <w:rFonts w:ascii="Arial" w:hAnsi="Arial" w:cs="Arial"/>
                <w:sz w:val="24"/>
                <w:szCs w:val="24"/>
              </w:rPr>
            </w:pPr>
            <w:r>
              <w:rPr>
                <w:rFonts w:ascii="Arial" w:hAnsi="Arial" w:cs="Arial"/>
                <w:sz w:val="24"/>
                <w:szCs w:val="24"/>
              </w:rPr>
              <w:t>Physician-dispensed medications with no pre-authorization</w:t>
            </w:r>
          </w:p>
          <w:p w14:paraId="3549E021" w14:textId="274C7BCF" w:rsidR="007805F7" w:rsidRPr="00153F6A" w:rsidRDefault="007805F7" w:rsidP="007E1990">
            <w:pPr>
              <w:pStyle w:val="ListParagraph"/>
              <w:numPr>
                <w:ilvl w:val="0"/>
                <w:numId w:val="27"/>
              </w:numPr>
              <w:spacing w:after="120"/>
              <w:ind w:left="496"/>
              <w:rPr>
                <w:rFonts w:ascii="Arial" w:hAnsi="Arial" w:cs="Arial"/>
                <w:sz w:val="24"/>
                <w:szCs w:val="24"/>
              </w:rPr>
            </w:pPr>
            <w:r>
              <w:rPr>
                <w:rFonts w:ascii="Arial" w:hAnsi="Arial" w:cs="Arial"/>
                <w:sz w:val="24"/>
                <w:szCs w:val="24"/>
              </w:rPr>
              <w:lastRenderedPageBreak/>
              <w:t>Compounded, physician-dispensed medications with no pre-authorization</w:t>
            </w:r>
          </w:p>
        </w:tc>
        <w:tc>
          <w:tcPr>
            <w:tcW w:w="2677" w:type="dxa"/>
          </w:tcPr>
          <w:p w14:paraId="3FD50ABC" w14:textId="77777777" w:rsidR="007805F7" w:rsidRDefault="007805F7" w:rsidP="007805F7">
            <w:pPr>
              <w:rPr>
                <w:rFonts w:ascii="Arial" w:hAnsi="Arial" w:cs="Arial"/>
                <w:sz w:val="24"/>
                <w:szCs w:val="24"/>
              </w:rPr>
            </w:pPr>
            <w:r>
              <w:rPr>
                <w:rFonts w:ascii="Arial" w:hAnsi="Arial" w:cs="Arial"/>
                <w:sz w:val="24"/>
                <w:szCs w:val="24"/>
              </w:rPr>
              <w:lastRenderedPageBreak/>
              <w:t>Lisa Anne Hurt-Forsythe, Vice President, Government Affairs – American Association of Payers, Administrators, and Networks (AAPAN)</w:t>
            </w:r>
          </w:p>
          <w:p w14:paraId="6B09B685" w14:textId="77777777" w:rsidR="007805F7" w:rsidRDefault="007805F7" w:rsidP="007805F7">
            <w:pPr>
              <w:rPr>
                <w:rFonts w:ascii="Arial" w:hAnsi="Arial" w:cs="Arial"/>
                <w:sz w:val="24"/>
                <w:szCs w:val="24"/>
              </w:rPr>
            </w:pPr>
            <w:r>
              <w:rPr>
                <w:rFonts w:ascii="Arial" w:hAnsi="Arial" w:cs="Arial"/>
                <w:sz w:val="24"/>
                <w:szCs w:val="24"/>
              </w:rPr>
              <w:t>October 23, 2024</w:t>
            </w:r>
          </w:p>
          <w:p w14:paraId="6E28254E" w14:textId="6EABFF8E" w:rsidR="007805F7" w:rsidRDefault="007805F7" w:rsidP="007805F7">
            <w:pPr>
              <w:rPr>
                <w:rFonts w:ascii="Arial" w:hAnsi="Arial" w:cs="Arial"/>
                <w:sz w:val="24"/>
                <w:szCs w:val="24"/>
              </w:rPr>
            </w:pPr>
            <w:r>
              <w:rPr>
                <w:rFonts w:ascii="Arial" w:hAnsi="Arial" w:cs="Arial"/>
                <w:sz w:val="24"/>
                <w:szCs w:val="24"/>
              </w:rPr>
              <w:t>Written Comment</w:t>
            </w:r>
          </w:p>
        </w:tc>
        <w:tc>
          <w:tcPr>
            <w:tcW w:w="2903" w:type="dxa"/>
          </w:tcPr>
          <w:p w14:paraId="49687817" w14:textId="77777777" w:rsidR="007805F7" w:rsidRDefault="007805F7" w:rsidP="007805F7">
            <w:pPr>
              <w:rPr>
                <w:rFonts w:ascii="Arial" w:hAnsi="Arial" w:cs="Arial"/>
                <w:sz w:val="24"/>
                <w:szCs w:val="24"/>
              </w:rPr>
            </w:pPr>
            <w:r>
              <w:rPr>
                <w:rFonts w:ascii="Arial" w:hAnsi="Arial" w:cs="Arial"/>
                <w:sz w:val="24"/>
                <w:szCs w:val="24"/>
              </w:rPr>
              <w:t>Disagree.</w:t>
            </w:r>
          </w:p>
          <w:p w14:paraId="152C20F1" w14:textId="47D3DFC6" w:rsidR="007805F7" w:rsidRPr="00C072DC" w:rsidRDefault="007805F7" w:rsidP="004229E5">
            <w:pPr>
              <w:spacing w:after="120"/>
              <w:rPr>
                <w:rFonts w:ascii="Arial" w:hAnsi="Arial" w:cs="Arial"/>
                <w:sz w:val="24"/>
                <w:szCs w:val="24"/>
              </w:rPr>
            </w:pPr>
            <w:r>
              <w:rPr>
                <w:rFonts w:ascii="Arial" w:hAnsi="Arial" w:cs="Arial"/>
                <w:sz w:val="24"/>
                <w:szCs w:val="24"/>
              </w:rPr>
              <w:t>Labor Code §4600, subdivision (a) provides that medical treatment “</w:t>
            </w:r>
            <w:r w:rsidRPr="00CD1081">
              <w:rPr>
                <w:rFonts w:ascii="Arial" w:hAnsi="Arial" w:cs="Arial"/>
                <w:sz w:val="24"/>
                <w:szCs w:val="24"/>
              </w:rPr>
              <w:t>that is reasonably required to cure or relieve the injured worker from the effects of the worker’s injury shall be provided by the employer</w:t>
            </w:r>
            <w:r>
              <w:rPr>
                <w:rFonts w:ascii="Arial" w:hAnsi="Arial" w:cs="Arial"/>
                <w:sz w:val="24"/>
                <w:szCs w:val="24"/>
              </w:rPr>
              <w:t xml:space="preserve">.” The process for obtaining prior authorization is governed by the utilization review </w:t>
            </w:r>
            <w:r>
              <w:rPr>
                <w:rFonts w:ascii="Arial" w:hAnsi="Arial" w:cs="Arial"/>
                <w:sz w:val="24"/>
                <w:szCs w:val="24"/>
              </w:rPr>
              <w:lastRenderedPageBreak/>
              <w:t>statute (Labor Code §4610) and implementing regulations. The medical necessity of a medication that did not receive prospective authorization can be reviewed on retrospective review.</w:t>
            </w:r>
          </w:p>
        </w:tc>
        <w:tc>
          <w:tcPr>
            <w:tcW w:w="2325" w:type="dxa"/>
          </w:tcPr>
          <w:p w14:paraId="58F87DEA" w14:textId="528D45E9" w:rsidR="007805F7" w:rsidRPr="00C072DC" w:rsidRDefault="007805F7" w:rsidP="007805F7">
            <w:pPr>
              <w:rPr>
                <w:rFonts w:ascii="Arial" w:hAnsi="Arial" w:cs="Arial"/>
                <w:sz w:val="24"/>
                <w:szCs w:val="24"/>
              </w:rPr>
            </w:pPr>
            <w:r>
              <w:rPr>
                <w:rFonts w:ascii="Arial" w:hAnsi="Arial" w:cs="Arial"/>
                <w:sz w:val="24"/>
                <w:szCs w:val="24"/>
              </w:rPr>
              <w:lastRenderedPageBreak/>
              <w:t>No action necessary.</w:t>
            </w:r>
          </w:p>
        </w:tc>
      </w:tr>
      <w:tr w:rsidR="007805F7" w:rsidRPr="00C072DC" w14:paraId="0C5EC3B1" w14:textId="77777777" w:rsidTr="00296934">
        <w:trPr>
          <w:trHeight w:val="100"/>
        </w:trPr>
        <w:tc>
          <w:tcPr>
            <w:tcW w:w="2088" w:type="dxa"/>
          </w:tcPr>
          <w:p w14:paraId="34780183" w14:textId="77777777" w:rsidR="007805F7" w:rsidRDefault="007C24EC" w:rsidP="007805F7">
            <w:pPr>
              <w:rPr>
                <w:rFonts w:ascii="Arial" w:hAnsi="Arial" w:cs="Arial"/>
                <w:sz w:val="24"/>
                <w:szCs w:val="24"/>
              </w:rPr>
            </w:pPr>
            <w:r>
              <w:rPr>
                <w:rFonts w:ascii="Arial" w:hAnsi="Arial" w:cs="Arial"/>
                <w:sz w:val="24"/>
                <w:szCs w:val="24"/>
              </w:rPr>
              <w:t>9789.40.3</w:t>
            </w:r>
          </w:p>
          <w:p w14:paraId="62408A91" w14:textId="2D04F0D1" w:rsidR="007C24EC" w:rsidRPr="00C072DC" w:rsidRDefault="007C24EC" w:rsidP="007805F7">
            <w:pPr>
              <w:rPr>
                <w:rFonts w:ascii="Arial" w:hAnsi="Arial" w:cs="Arial"/>
                <w:sz w:val="24"/>
                <w:szCs w:val="24"/>
              </w:rPr>
            </w:pPr>
            <w:r>
              <w:rPr>
                <w:rFonts w:ascii="Arial" w:hAnsi="Arial" w:cs="Arial"/>
                <w:sz w:val="24"/>
                <w:szCs w:val="24"/>
              </w:rPr>
              <w:t>9789.40.7</w:t>
            </w:r>
          </w:p>
        </w:tc>
        <w:tc>
          <w:tcPr>
            <w:tcW w:w="3960" w:type="dxa"/>
          </w:tcPr>
          <w:p w14:paraId="6110DAB4" w14:textId="2C8FCA01" w:rsidR="007805F7" w:rsidRPr="00C072DC" w:rsidRDefault="007805F7" w:rsidP="007805F7">
            <w:pPr>
              <w:spacing w:after="120"/>
              <w:rPr>
                <w:rFonts w:ascii="Arial" w:hAnsi="Arial" w:cs="Arial"/>
                <w:sz w:val="24"/>
                <w:szCs w:val="24"/>
              </w:rPr>
            </w:pPr>
            <w:r>
              <w:rPr>
                <w:rFonts w:ascii="Arial" w:hAnsi="Arial" w:cs="Arial"/>
                <w:sz w:val="24"/>
                <w:szCs w:val="24"/>
              </w:rPr>
              <w:t xml:space="preserve">Commenter appreciates the DWC’s efforts to ensure the safety of compounded medications by including consideration of sterilization and routes of administration; however, she opines that incorporating these considerations into the compounding fee greatly increases the administrative burden associated with implementing and operationalizing the </w:t>
            </w:r>
            <w:proofErr w:type="gramStart"/>
            <w:r>
              <w:rPr>
                <w:rFonts w:ascii="Arial" w:hAnsi="Arial" w:cs="Arial"/>
                <w:sz w:val="24"/>
                <w:szCs w:val="24"/>
              </w:rPr>
              <w:t>fee, and</w:t>
            </w:r>
            <w:proofErr w:type="gramEnd"/>
            <w:r>
              <w:rPr>
                <w:rFonts w:ascii="Arial" w:hAnsi="Arial" w:cs="Arial"/>
                <w:sz w:val="24"/>
                <w:szCs w:val="24"/>
              </w:rPr>
              <w:t xml:space="preserve"> creates an analogous situation to the 2-tiered dispensing fee.</w:t>
            </w:r>
          </w:p>
        </w:tc>
        <w:tc>
          <w:tcPr>
            <w:tcW w:w="2677" w:type="dxa"/>
          </w:tcPr>
          <w:p w14:paraId="2C4CD3B2" w14:textId="77777777" w:rsidR="007805F7" w:rsidRDefault="007805F7" w:rsidP="007805F7">
            <w:pPr>
              <w:rPr>
                <w:rFonts w:ascii="Arial" w:hAnsi="Arial" w:cs="Arial"/>
                <w:sz w:val="24"/>
                <w:szCs w:val="24"/>
              </w:rPr>
            </w:pPr>
            <w:r>
              <w:rPr>
                <w:rFonts w:ascii="Arial" w:hAnsi="Arial" w:cs="Arial"/>
                <w:sz w:val="24"/>
                <w:szCs w:val="24"/>
              </w:rPr>
              <w:t>Lisa Anne Hurt-Forsythe, Vice President, Government Affairs – American Association of Payers, Administrators, and Networks (AAPAN)</w:t>
            </w:r>
          </w:p>
          <w:p w14:paraId="1A6226D6" w14:textId="77777777" w:rsidR="007805F7" w:rsidRDefault="007805F7" w:rsidP="007805F7">
            <w:pPr>
              <w:rPr>
                <w:rFonts w:ascii="Arial" w:hAnsi="Arial" w:cs="Arial"/>
                <w:sz w:val="24"/>
                <w:szCs w:val="24"/>
              </w:rPr>
            </w:pPr>
            <w:r>
              <w:rPr>
                <w:rFonts w:ascii="Arial" w:hAnsi="Arial" w:cs="Arial"/>
                <w:sz w:val="24"/>
                <w:szCs w:val="24"/>
              </w:rPr>
              <w:t>October 23, 2024</w:t>
            </w:r>
          </w:p>
          <w:p w14:paraId="5EA31929" w14:textId="4278AB0C" w:rsidR="007805F7" w:rsidRDefault="007805F7" w:rsidP="007805F7">
            <w:pPr>
              <w:rPr>
                <w:rFonts w:ascii="Arial" w:hAnsi="Arial" w:cs="Arial"/>
                <w:sz w:val="24"/>
                <w:szCs w:val="24"/>
              </w:rPr>
            </w:pPr>
            <w:r>
              <w:rPr>
                <w:rFonts w:ascii="Arial" w:hAnsi="Arial" w:cs="Arial"/>
                <w:sz w:val="24"/>
                <w:szCs w:val="24"/>
              </w:rPr>
              <w:t>Written Comment</w:t>
            </w:r>
          </w:p>
        </w:tc>
        <w:tc>
          <w:tcPr>
            <w:tcW w:w="2903" w:type="dxa"/>
          </w:tcPr>
          <w:p w14:paraId="44AD6DBF" w14:textId="77777777" w:rsidR="007C24EC" w:rsidRPr="00085AE9" w:rsidRDefault="007C24EC" w:rsidP="007C24EC">
            <w:pPr>
              <w:rPr>
                <w:rFonts w:ascii="Arial" w:hAnsi="Arial" w:cs="Arial"/>
                <w:sz w:val="24"/>
                <w:szCs w:val="24"/>
              </w:rPr>
            </w:pPr>
            <w:r w:rsidRPr="00085AE9">
              <w:rPr>
                <w:rFonts w:ascii="Arial" w:hAnsi="Arial" w:cs="Arial"/>
                <w:sz w:val="24"/>
                <w:szCs w:val="24"/>
              </w:rPr>
              <w:t xml:space="preserve">The proposed compounding fees are in conformity with Medi-Cal. Labor Code §5307.1(a)(1) directs the DWC to adopt a fee schedule for “…medical services…, drugs and pharmacy services…in accordance with the fee-related structure and rules of the relevant Medicare and Medi-Cal payments systems…” The various provisions of §5307.1 make it clear </w:t>
            </w:r>
            <w:r w:rsidRPr="00085AE9">
              <w:rPr>
                <w:rFonts w:ascii="Arial" w:hAnsi="Arial" w:cs="Arial"/>
                <w:sz w:val="24"/>
                <w:szCs w:val="24"/>
              </w:rPr>
              <w:lastRenderedPageBreak/>
              <w:t>that drugs and pharmacy services are capped at no more than 100% of Medi-Cal. Subdivision</w:t>
            </w:r>
          </w:p>
          <w:p w14:paraId="4C5802F1" w14:textId="77777777" w:rsidR="007C24EC" w:rsidRPr="00085AE9" w:rsidRDefault="007C24EC" w:rsidP="007C24EC">
            <w:pPr>
              <w:rPr>
                <w:rFonts w:ascii="Arial" w:hAnsi="Arial" w:cs="Arial"/>
                <w:sz w:val="24"/>
                <w:szCs w:val="24"/>
              </w:rPr>
            </w:pPr>
            <w:r w:rsidRPr="00085AE9">
              <w:rPr>
                <w:rFonts w:ascii="Arial" w:hAnsi="Arial" w:cs="Arial"/>
                <w:sz w:val="24"/>
                <w:szCs w:val="24"/>
              </w:rPr>
              <w:t>(a)(1) additionally states that prior to adoption of the fee schedule, “for pharmacy services and drugs that are not otherwise covered by a Medicare fee schedule payment for facility services, the maximum reasonable fees shall be 100 percent of fees prescribed in the relevant Medi-Cal payment system.” Subd.</w:t>
            </w:r>
          </w:p>
          <w:p w14:paraId="6775A71F" w14:textId="77777777" w:rsidR="007C24EC" w:rsidRPr="00085AE9" w:rsidRDefault="007C24EC" w:rsidP="007C24EC">
            <w:pPr>
              <w:rPr>
                <w:rFonts w:ascii="Arial" w:hAnsi="Arial" w:cs="Arial"/>
                <w:sz w:val="24"/>
                <w:szCs w:val="24"/>
              </w:rPr>
            </w:pPr>
            <w:r w:rsidRPr="00085AE9">
              <w:rPr>
                <w:rFonts w:ascii="Arial" w:hAnsi="Arial" w:cs="Arial"/>
                <w:sz w:val="24"/>
                <w:szCs w:val="24"/>
              </w:rPr>
              <w:t xml:space="preserve">(g)(1)(A) states in part: “Notwithstanding any other law, the official medical fee schedule shall be adjusted to conform to any relevant changes in the Medicare and Medi-Cal payment systems no later than 60 </w:t>
            </w:r>
            <w:r w:rsidRPr="00085AE9">
              <w:rPr>
                <w:rFonts w:ascii="Arial" w:hAnsi="Arial" w:cs="Arial"/>
                <w:sz w:val="24"/>
                <w:szCs w:val="24"/>
              </w:rPr>
              <w:lastRenderedPageBreak/>
              <w:t>days after the effective date of those changes…”</w:t>
            </w:r>
          </w:p>
          <w:p w14:paraId="27994CB8" w14:textId="77777777" w:rsidR="007C24EC" w:rsidRDefault="007C24EC" w:rsidP="007C24EC">
            <w:pPr>
              <w:spacing w:after="240"/>
              <w:rPr>
                <w:rFonts w:ascii="Arial" w:hAnsi="Arial" w:cs="Arial"/>
                <w:sz w:val="24"/>
                <w:szCs w:val="24"/>
              </w:rPr>
            </w:pPr>
            <w:r w:rsidRPr="00085AE9">
              <w:rPr>
                <w:rFonts w:ascii="Arial" w:hAnsi="Arial" w:cs="Arial"/>
                <w:sz w:val="24"/>
                <w:szCs w:val="24"/>
              </w:rPr>
              <w:t>Subdivision (d) states in part: “If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p>
          <w:p w14:paraId="320917B5" w14:textId="3F20FD5E" w:rsidR="007805F7" w:rsidRPr="00C072DC" w:rsidRDefault="007C24EC" w:rsidP="007C24EC">
            <w:pPr>
              <w:rPr>
                <w:rFonts w:ascii="Arial" w:hAnsi="Arial" w:cs="Arial"/>
                <w:sz w:val="24"/>
                <w:szCs w:val="24"/>
              </w:rPr>
            </w:pPr>
            <w:r>
              <w:rPr>
                <w:rFonts w:ascii="Arial" w:hAnsi="Arial" w:cs="Arial"/>
                <w:sz w:val="24"/>
                <w:szCs w:val="24"/>
              </w:rPr>
              <w:t>Commenter also states that the compounding fee and sterility fee structure “</w:t>
            </w:r>
            <w:r w:rsidRPr="002009CF">
              <w:rPr>
                <w:rFonts w:ascii="Arial" w:hAnsi="Arial" w:cs="Arial"/>
                <w:sz w:val="24"/>
                <w:szCs w:val="24"/>
              </w:rPr>
              <w:t>greatly increases the administrative burden</w:t>
            </w:r>
            <w:r>
              <w:rPr>
                <w:rFonts w:ascii="Arial" w:hAnsi="Arial" w:cs="Arial"/>
                <w:sz w:val="24"/>
                <w:szCs w:val="24"/>
              </w:rPr>
              <w:t xml:space="preserve">.” It </w:t>
            </w:r>
            <w:r>
              <w:rPr>
                <w:rFonts w:ascii="Arial" w:hAnsi="Arial" w:cs="Arial"/>
                <w:sz w:val="24"/>
                <w:szCs w:val="24"/>
              </w:rPr>
              <w:lastRenderedPageBreak/>
              <w:t>should be noted that this structure is not new; it has been in use for California workers’ compensation since 2004 when the Medi-Cal methodology was adopted in section 9789.40. The Route of Administration / Sterility Fee Table and the Dosage Form Compounding Fee have been in effect, and posted on the DWC website, since 2004, and are now adopted with minor formatting change, but substantively unmodified.</w:t>
            </w:r>
          </w:p>
        </w:tc>
        <w:tc>
          <w:tcPr>
            <w:tcW w:w="2325" w:type="dxa"/>
          </w:tcPr>
          <w:p w14:paraId="21DF3E1E" w14:textId="2711E6F8" w:rsidR="007805F7" w:rsidRPr="00C072DC" w:rsidRDefault="007C24EC" w:rsidP="007805F7">
            <w:pPr>
              <w:rPr>
                <w:rFonts w:ascii="Arial" w:hAnsi="Arial" w:cs="Arial"/>
                <w:sz w:val="24"/>
                <w:szCs w:val="24"/>
              </w:rPr>
            </w:pPr>
            <w:r>
              <w:rPr>
                <w:rFonts w:ascii="Arial" w:hAnsi="Arial" w:cs="Arial"/>
                <w:sz w:val="24"/>
                <w:szCs w:val="24"/>
              </w:rPr>
              <w:lastRenderedPageBreak/>
              <w:t>No action necessary.</w:t>
            </w:r>
          </w:p>
        </w:tc>
      </w:tr>
      <w:tr w:rsidR="00D63344" w:rsidRPr="00C072DC" w14:paraId="2D50001F" w14:textId="77777777" w:rsidTr="00296934">
        <w:trPr>
          <w:trHeight w:val="100"/>
        </w:trPr>
        <w:tc>
          <w:tcPr>
            <w:tcW w:w="2088" w:type="dxa"/>
          </w:tcPr>
          <w:p w14:paraId="2847AAC8" w14:textId="6C2D5CAC" w:rsidR="00D63344" w:rsidRPr="00C072DC" w:rsidRDefault="00D63344" w:rsidP="00D63344">
            <w:pPr>
              <w:rPr>
                <w:rFonts w:ascii="Arial" w:hAnsi="Arial" w:cs="Arial"/>
                <w:sz w:val="24"/>
                <w:szCs w:val="24"/>
              </w:rPr>
            </w:pPr>
            <w:r>
              <w:rPr>
                <w:rFonts w:ascii="Arial" w:hAnsi="Arial" w:cs="Arial"/>
                <w:sz w:val="24"/>
                <w:szCs w:val="24"/>
              </w:rPr>
              <w:lastRenderedPageBreak/>
              <w:t>General Comment</w:t>
            </w:r>
          </w:p>
        </w:tc>
        <w:tc>
          <w:tcPr>
            <w:tcW w:w="3960" w:type="dxa"/>
          </w:tcPr>
          <w:p w14:paraId="6AA0B781" w14:textId="77777777" w:rsidR="00D63344" w:rsidRDefault="00D63344" w:rsidP="00D63344">
            <w:pPr>
              <w:spacing w:after="120"/>
              <w:rPr>
                <w:rFonts w:ascii="Arial" w:hAnsi="Arial" w:cs="Arial"/>
                <w:sz w:val="24"/>
                <w:szCs w:val="24"/>
              </w:rPr>
            </w:pPr>
            <w:r>
              <w:rPr>
                <w:rFonts w:ascii="Arial" w:hAnsi="Arial" w:cs="Arial"/>
                <w:sz w:val="24"/>
                <w:szCs w:val="24"/>
              </w:rPr>
              <w:t xml:space="preserve">Commenter notes that the inclusion of a physician dispensing fee allows for a variance from </w:t>
            </w:r>
            <w:proofErr w:type="spellStart"/>
            <w:proofErr w:type="gramStart"/>
            <w:r>
              <w:rPr>
                <w:rFonts w:ascii="Arial" w:hAnsi="Arial" w:cs="Arial"/>
                <w:sz w:val="24"/>
                <w:szCs w:val="24"/>
              </w:rPr>
              <w:t>MediCal</w:t>
            </w:r>
            <w:proofErr w:type="spellEnd"/>
            <w:proofErr w:type="gramEnd"/>
            <w:r>
              <w:rPr>
                <w:rFonts w:ascii="Arial" w:hAnsi="Arial" w:cs="Arial"/>
                <w:sz w:val="24"/>
                <w:szCs w:val="24"/>
              </w:rPr>
              <w:t xml:space="preserve"> payment policies. Commenter opines that a variance from </w:t>
            </w:r>
            <w:proofErr w:type="spellStart"/>
            <w:r>
              <w:rPr>
                <w:rFonts w:ascii="Arial" w:hAnsi="Arial" w:cs="Arial"/>
                <w:sz w:val="24"/>
                <w:szCs w:val="24"/>
              </w:rPr>
              <w:t>MediCal</w:t>
            </w:r>
            <w:proofErr w:type="spellEnd"/>
            <w:r>
              <w:rPr>
                <w:rFonts w:ascii="Arial" w:hAnsi="Arial" w:cs="Arial"/>
                <w:sz w:val="24"/>
                <w:szCs w:val="24"/>
              </w:rPr>
              <w:t xml:space="preserve"> should also be </w:t>
            </w:r>
            <w:r>
              <w:rPr>
                <w:rFonts w:ascii="Arial" w:hAnsi="Arial" w:cs="Arial"/>
                <w:sz w:val="24"/>
                <w:szCs w:val="24"/>
              </w:rPr>
              <w:lastRenderedPageBreak/>
              <w:t xml:space="preserve">granted to recognize the value of workers’ compensation PBM’s. </w:t>
            </w:r>
          </w:p>
          <w:p w14:paraId="56E6290D" w14:textId="77777777" w:rsidR="00D63344" w:rsidRDefault="00D63344" w:rsidP="00D63344">
            <w:pPr>
              <w:spacing w:after="120"/>
              <w:rPr>
                <w:rFonts w:ascii="Arial" w:hAnsi="Arial" w:cs="Arial"/>
                <w:sz w:val="24"/>
                <w:szCs w:val="24"/>
              </w:rPr>
            </w:pPr>
            <w:r>
              <w:rPr>
                <w:rFonts w:ascii="Arial" w:hAnsi="Arial" w:cs="Arial"/>
                <w:sz w:val="24"/>
                <w:szCs w:val="24"/>
              </w:rPr>
              <w:t xml:space="preserve">Commenter states that she understands that reinstating the physician dispensing fee was done to ensure fundamental fairness in the system and to recognize the expenses incurred by physicians in providing this service to injured workers, particularly when low-cost, “YES” status drugs (such as antibiotics) are being prescribed. </w:t>
            </w:r>
          </w:p>
          <w:p w14:paraId="3A815B45" w14:textId="77777777" w:rsidR="00D63344" w:rsidRDefault="00D63344" w:rsidP="00D63344">
            <w:pPr>
              <w:spacing w:after="120"/>
              <w:rPr>
                <w:rFonts w:ascii="Arial" w:hAnsi="Arial" w:cs="Arial"/>
                <w:sz w:val="24"/>
                <w:szCs w:val="24"/>
              </w:rPr>
            </w:pPr>
            <w:r>
              <w:rPr>
                <w:rFonts w:ascii="Arial" w:hAnsi="Arial" w:cs="Arial"/>
                <w:sz w:val="24"/>
                <w:szCs w:val="24"/>
              </w:rPr>
              <w:t xml:space="preserve">Commenter states that throughout this regulatory process she has expressed her concern regarding the drastic reduction in pharmacy reimbursement rates associated with the shift to a </w:t>
            </w:r>
            <w:proofErr w:type="spellStart"/>
            <w:r>
              <w:rPr>
                <w:rFonts w:ascii="Arial" w:hAnsi="Arial" w:cs="Arial"/>
                <w:sz w:val="24"/>
                <w:szCs w:val="24"/>
              </w:rPr>
              <w:t>MediCal</w:t>
            </w:r>
            <w:proofErr w:type="spellEnd"/>
            <w:r>
              <w:rPr>
                <w:rFonts w:ascii="Arial" w:hAnsi="Arial" w:cs="Arial"/>
                <w:sz w:val="24"/>
                <w:szCs w:val="24"/>
              </w:rPr>
              <w:t xml:space="preserve">-based reimbursement system. Commenter opines that recompense be given to recognize the value of the services provided not only by pharmacies service injured workers, but also the value that workers’ compensation pharmacy benefit mangers (WC </w:t>
            </w:r>
            <w:r>
              <w:rPr>
                <w:rFonts w:ascii="Arial" w:hAnsi="Arial" w:cs="Arial"/>
                <w:sz w:val="24"/>
                <w:szCs w:val="24"/>
              </w:rPr>
              <w:lastRenderedPageBreak/>
              <w:t xml:space="preserve">PBMs) provide to injured workers, in analogous fashion to that provided by the physicians “YES” status medications.  Commenter recommends the use of a multiplier/conversion factor as an add-on above the standard baseline </w:t>
            </w:r>
            <w:proofErr w:type="spellStart"/>
            <w:proofErr w:type="gramStart"/>
            <w:r>
              <w:rPr>
                <w:rFonts w:ascii="Arial" w:hAnsi="Arial" w:cs="Arial"/>
                <w:sz w:val="24"/>
                <w:szCs w:val="24"/>
              </w:rPr>
              <w:t>MediCal</w:t>
            </w:r>
            <w:proofErr w:type="spellEnd"/>
            <w:proofErr w:type="gramEnd"/>
            <w:r>
              <w:rPr>
                <w:rFonts w:ascii="Arial" w:hAnsi="Arial" w:cs="Arial"/>
                <w:sz w:val="24"/>
                <w:szCs w:val="24"/>
              </w:rPr>
              <w:t xml:space="preserve"> reimbursement levels, to help offset the drastic price reductions. Commenter states that clear precedent for such a move current exists in the workers’ compensation system, such as the multiplier for physician services in California added to the Medicare reimbursement base. </w:t>
            </w:r>
          </w:p>
          <w:p w14:paraId="6DC6F317" w14:textId="77777777" w:rsidR="00D63344" w:rsidRDefault="00D63344" w:rsidP="00D63344">
            <w:pPr>
              <w:spacing w:after="120"/>
              <w:rPr>
                <w:rFonts w:ascii="Arial" w:hAnsi="Arial" w:cs="Arial"/>
                <w:sz w:val="24"/>
                <w:szCs w:val="24"/>
              </w:rPr>
            </w:pPr>
            <w:r>
              <w:rPr>
                <w:rFonts w:ascii="Arial" w:hAnsi="Arial" w:cs="Arial"/>
                <w:sz w:val="24"/>
                <w:szCs w:val="24"/>
              </w:rPr>
              <w:t>Commenter notes that after the workers’ compensation add-on, reimbursement rates for physicians in the state sit at approximately 145.72% of standard Medicare rates, as of April 1, 2024.</w:t>
            </w:r>
          </w:p>
          <w:p w14:paraId="606F86A2" w14:textId="049B45C6" w:rsidR="00D63344" w:rsidRPr="00C072DC" w:rsidRDefault="00D63344" w:rsidP="00D63344">
            <w:pPr>
              <w:spacing w:after="120"/>
              <w:rPr>
                <w:rFonts w:ascii="Arial" w:hAnsi="Arial" w:cs="Arial"/>
                <w:sz w:val="24"/>
                <w:szCs w:val="24"/>
              </w:rPr>
            </w:pPr>
            <w:r>
              <w:rPr>
                <w:rFonts w:ascii="Arial" w:hAnsi="Arial" w:cs="Arial"/>
                <w:sz w:val="24"/>
                <w:szCs w:val="24"/>
              </w:rPr>
              <w:t xml:space="preserve">Commenter recommends that the DWC use a targeted variance from standard </w:t>
            </w:r>
            <w:proofErr w:type="spellStart"/>
            <w:proofErr w:type="gramStart"/>
            <w:r>
              <w:rPr>
                <w:rFonts w:ascii="Arial" w:hAnsi="Arial" w:cs="Arial"/>
                <w:sz w:val="24"/>
                <w:szCs w:val="24"/>
              </w:rPr>
              <w:t>MediCal</w:t>
            </w:r>
            <w:proofErr w:type="spellEnd"/>
            <w:proofErr w:type="gramEnd"/>
            <w:r>
              <w:rPr>
                <w:rFonts w:ascii="Arial" w:hAnsi="Arial" w:cs="Arial"/>
                <w:sz w:val="24"/>
                <w:szCs w:val="24"/>
              </w:rPr>
              <w:t xml:space="preserve"> pharmacy rates using the physician services </w:t>
            </w:r>
            <w:r>
              <w:rPr>
                <w:rFonts w:ascii="Arial" w:hAnsi="Arial" w:cs="Arial"/>
                <w:sz w:val="24"/>
                <w:szCs w:val="24"/>
              </w:rPr>
              <w:lastRenderedPageBreak/>
              <w:t xml:space="preserve">multiplier as a guide – i.e., a multiplier of 1.4 (or 140%) to be applied to the </w:t>
            </w:r>
            <w:proofErr w:type="spellStart"/>
            <w:r>
              <w:rPr>
                <w:rFonts w:ascii="Arial" w:hAnsi="Arial" w:cs="Arial"/>
                <w:sz w:val="24"/>
                <w:szCs w:val="24"/>
              </w:rPr>
              <w:t>MediCal</w:t>
            </w:r>
            <w:proofErr w:type="spellEnd"/>
            <w:r>
              <w:rPr>
                <w:rFonts w:ascii="Arial" w:hAnsi="Arial" w:cs="Arial"/>
                <w:sz w:val="24"/>
                <w:szCs w:val="24"/>
              </w:rPr>
              <w:t xml:space="preserve"> base rates for pharmaceutical services. Commenter opines that use of this multiplier will help to off-set the drastic price reductions associated with the full shift to </w:t>
            </w:r>
            <w:proofErr w:type="spellStart"/>
            <w:r>
              <w:rPr>
                <w:rFonts w:ascii="Arial" w:hAnsi="Arial" w:cs="Arial"/>
                <w:sz w:val="24"/>
                <w:szCs w:val="24"/>
              </w:rPr>
              <w:t>MediCal</w:t>
            </w:r>
            <w:proofErr w:type="spellEnd"/>
            <w:r>
              <w:rPr>
                <w:rFonts w:ascii="Arial" w:hAnsi="Arial" w:cs="Arial"/>
                <w:sz w:val="24"/>
                <w:szCs w:val="24"/>
              </w:rPr>
              <w:t xml:space="preserve"> and ensure fundamental fairness to all stakeholders in the system.</w:t>
            </w:r>
          </w:p>
        </w:tc>
        <w:tc>
          <w:tcPr>
            <w:tcW w:w="2677" w:type="dxa"/>
          </w:tcPr>
          <w:p w14:paraId="7DA26D9C" w14:textId="77777777" w:rsidR="00D63344" w:rsidRDefault="00D63344" w:rsidP="00D63344">
            <w:pPr>
              <w:rPr>
                <w:rFonts w:ascii="Arial" w:hAnsi="Arial" w:cs="Arial"/>
                <w:sz w:val="24"/>
                <w:szCs w:val="24"/>
              </w:rPr>
            </w:pPr>
            <w:r>
              <w:rPr>
                <w:rFonts w:ascii="Arial" w:hAnsi="Arial" w:cs="Arial"/>
                <w:sz w:val="24"/>
                <w:szCs w:val="24"/>
              </w:rPr>
              <w:lastRenderedPageBreak/>
              <w:t xml:space="preserve">Lisa Anne Hurt-Forsythe, Vice President, Government Affairs – American Association of Payers, </w:t>
            </w:r>
            <w:r>
              <w:rPr>
                <w:rFonts w:ascii="Arial" w:hAnsi="Arial" w:cs="Arial"/>
                <w:sz w:val="24"/>
                <w:szCs w:val="24"/>
              </w:rPr>
              <w:lastRenderedPageBreak/>
              <w:t>Administrators, and Networks (AAPAN)</w:t>
            </w:r>
          </w:p>
          <w:p w14:paraId="5B53F6F3" w14:textId="77777777" w:rsidR="00D63344" w:rsidRDefault="00D63344" w:rsidP="00D63344">
            <w:pPr>
              <w:rPr>
                <w:rFonts w:ascii="Arial" w:hAnsi="Arial" w:cs="Arial"/>
                <w:sz w:val="24"/>
                <w:szCs w:val="24"/>
              </w:rPr>
            </w:pPr>
            <w:r>
              <w:rPr>
                <w:rFonts w:ascii="Arial" w:hAnsi="Arial" w:cs="Arial"/>
                <w:sz w:val="24"/>
                <w:szCs w:val="24"/>
              </w:rPr>
              <w:t>October 23, 2024</w:t>
            </w:r>
          </w:p>
          <w:p w14:paraId="318CD5BC" w14:textId="3F35BD17" w:rsidR="00D63344" w:rsidRDefault="00D63344" w:rsidP="00D63344">
            <w:pPr>
              <w:rPr>
                <w:rFonts w:ascii="Arial" w:hAnsi="Arial" w:cs="Arial"/>
                <w:sz w:val="24"/>
                <w:szCs w:val="24"/>
              </w:rPr>
            </w:pPr>
            <w:r>
              <w:rPr>
                <w:rFonts w:ascii="Arial" w:hAnsi="Arial" w:cs="Arial"/>
                <w:sz w:val="24"/>
                <w:szCs w:val="24"/>
              </w:rPr>
              <w:t>Written Comment</w:t>
            </w:r>
          </w:p>
        </w:tc>
        <w:tc>
          <w:tcPr>
            <w:tcW w:w="2903" w:type="dxa"/>
          </w:tcPr>
          <w:p w14:paraId="6910EB1F" w14:textId="77777777" w:rsidR="00D63344" w:rsidRDefault="00D63344" w:rsidP="00D63344">
            <w:pPr>
              <w:rPr>
                <w:rFonts w:ascii="Arial" w:hAnsi="Arial" w:cs="Arial"/>
                <w:sz w:val="24"/>
                <w:szCs w:val="24"/>
              </w:rPr>
            </w:pPr>
            <w:r>
              <w:rPr>
                <w:rFonts w:ascii="Arial" w:hAnsi="Arial" w:cs="Arial"/>
                <w:sz w:val="24"/>
                <w:szCs w:val="24"/>
              </w:rPr>
              <w:lastRenderedPageBreak/>
              <w:t>Disagree with the suggestion to adopt a 1.4 multiplier for pharmaceuticals.</w:t>
            </w:r>
          </w:p>
          <w:p w14:paraId="491903F0" w14:textId="77777777" w:rsidR="00D63344" w:rsidRDefault="00D63344" w:rsidP="00D63344">
            <w:pPr>
              <w:rPr>
                <w:rFonts w:ascii="Arial" w:hAnsi="Arial" w:cs="Arial"/>
                <w:sz w:val="24"/>
                <w:szCs w:val="24"/>
              </w:rPr>
            </w:pPr>
            <w:r>
              <w:rPr>
                <w:rFonts w:ascii="Arial" w:hAnsi="Arial" w:cs="Arial"/>
                <w:sz w:val="24"/>
                <w:szCs w:val="24"/>
              </w:rPr>
              <w:t xml:space="preserve">There is no statutory provision authorizing the DWC to create a fee </w:t>
            </w:r>
            <w:r>
              <w:rPr>
                <w:rFonts w:ascii="Arial" w:hAnsi="Arial" w:cs="Arial"/>
                <w:sz w:val="24"/>
                <w:szCs w:val="24"/>
              </w:rPr>
              <w:lastRenderedPageBreak/>
              <w:t>schedule that is 140% of Medi-Cal. Reading the fee schedule statute it is apparent that the legislative intent is to set the maximum workers’ compensation pharmaceutical fees at 100% of Medi-Cal rates.</w:t>
            </w:r>
          </w:p>
          <w:p w14:paraId="02F061D2" w14:textId="5FB8FBCE" w:rsidR="00D63344" w:rsidRPr="00C072DC" w:rsidRDefault="00D63344" w:rsidP="00D63344">
            <w:pPr>
              <w:rPr>
                <w:rFonts w:ascii="Arial" w:hAnsi="Arial" w:cs="Arial"/>
                <w:sz w:val="24"/>
                <w:szCs w:val="24"/>
              </w:rPr>
            </w:pPr>
            <w:r>
              <w:rPr>
                <w:rFonts w:ascii="Arial" w:hAnsi="Arial" w:cs="Arial"/>
                <w:sz w:val="24"/>
                <w:szCs w:val="24"/>
              </w:rPr>
              <w:t>Labor Code §5307.1 (a)(1) states that DWC shall establish an official medical fee schedule that includes drugs and pharmacy services, stating that “</w:t>
            </w:r>
            <w:r w:rsidRPr="00314139">
              <w:rPr>
                <w:rFonts w:ascii="Arial" w:hAnsi="Arial" w:cs="Arial"/>
                <w:sz w:val="24"/>
                <w:szCs w:val="24"/>
              </w:rPr>
              <w:t>all fees shall be in accordance with the fee-related structure and rules</w:t>
            </w:r>
            <w:r>
              <w:rPr>
                <w:rFonts w:ascii="Arial" w:hAnsi="Arial" w:cs="Arial"/>
                <w:sz w:val="24"/>
                <w:szCs w:val="24"/>
              </w:rPr>
              <w:t xml:space="preserve"> of the relevant … Medi-Cal payment systems…”; directs pharmacy services and drug fees to be 100% of Medi-Cal pending adoption of the fee schedule; directs the DWC to establish </w:t>
            </w:r>
            <w:r>
              <w:rPr>
                <w:rFonts w:ascii="Arial" w:hAnsi="Arial" w:cs="Arial"/>
                <w:sz w:val="24"/>
                <w:szCs w:val="24"/>
              </w:rPr>
              <w:lastRenderedPageBreak/>
              <w:t xml:space="preserve">maximum fees for “a </w:t>
            </w:r>
            <w:r w:rsidRPr="00B81A2F">
              <w:rPr>
                <w:rFonts w:ascii="Arial" w:hAnsi="Arial" w:cs="Arial"/>
                <w:sz w:val="24"/>
                <w:szCs w:val="24"/>
              </w:rPr>
              <w:t>pharmacy service or drug is not covered by a Medi-Cal payment system</w:t>
            </w:r>
            <w:r>
              <w:rPr>
                <w:rFonts w:ascii="Arial" w:hAnsi="Arial" w:cs="Arial"/>
                <w:sz w:val="24"/>
                <w:szCs w:val="24"/>
              </w:rPr>
              <w:t>” at a rate that “</w:t>
            </w:r>
            <w:r w:rsidRPr="00B81A2F">
              <w:rPr>
                <w:rFonts w:ascii="Arial" w:hAnsi="Arial" w:cs="Arial"/>
                <w:sz w:val="24"/>
                <w:szCs w:val="24"/>
              </w:rPr>
              <w:t>shall not exceed 100 percent of the fees paid by Medi-Cal for pharmacy services or drugs that require comparable resources</w:t>
            </w:r>
            <w:r>
              <w:rPr>
                <w:rFonts w:ascii="Arial" w:hAnsi="Arial" w:cs="Arial"/>
                <w:sz w:val="24"/>
                <w:szCs w:val="24"/>
              </w:rPr>
              <w:t>,” and directs the fee schedule to be adjusted to conform to any relevant Medi-Cal payment system changes no later than 60 days after the effective date of those changes.</w:t>
            </w:r>
          </w:p>
        </w:tc>
        <w:tc>
          <w:tcPr>
            <w:tcW w:w="2325" w:type="dxa"/>
          </w:tcPr>
          <w:p w14:paraId="5AE56491" w14:textId="62CAC412" w:rsidR="00D63344" w:rsidRPr="00C072DC" w:rsidRDefault="00D63344" w:rsidP="00D63344">
            <w:pPr>
              <w:rPr>
                <w:rFonts w:ascii="Arial" w:hAnsi="Arial" w:cs="Arial"/>
                <w:sz w:val="24"/>
                <w:szCs w:val="24"/>
              </w:rPr>
            </w:pPr>
            <w:r>
              <w:rPr>
                <w:rFonts w:ascii="Arial" w:hAnsi="Arial" w:cs="Arial"/>
                <w:sz w:val="24"/>
                <w:szCs w:val="24"/>
              </w:rPr>
              <w:lastRenderedPageBreak/>
              <w:t>No action necessary.</w:t>
            </w:r>
          </w:p>
        </w:tc>
      </w:tr>
      <w:tr w:rsidR="00144758" w:rsidRPr="00C072DC" w14:paraId="1F1E4BED" w14:textId="77777777" w:rsidTr="00296934">
        <w:trPr>
          <w:trHeight w:val="100"/>
        </w:trPr>
        <w:tc>
          <w:tcPr>
            <w:tcW w:w="2088" w:type="dxa"/>
          </w:tcPr>
          <w:p w14:paraId="4A96FA45" w14:textId="4B463683" w:rsidR="00144758" w:rsidRPr="00C072DC" w:rsidRDefault="00144758" w:rsidP="00144758">
            <w:pPr>
              <w:rPr>
                <w:rFonts w:ascii="Arial" w:hAnsi="Arial" w:cs="Arial"/>
                <w:sz w:val="24"/>
                <w:szCs w:val="24"/>
              </w:rPr>
            </w:pPr>
            <w:r>
              <w:rPr>
                <w:rFonts w:ascii="Arial" w:hAnsi="Arial" w:cs="Arial"/>
                <w:sz w:val="24"/>
                <w:szCs w:val="24"/>
              </w:rPr>
              <w:lastRenderedPageBreak/>
              <w:t>9789.40.1</w:t>
            </w:r>
          </w:p>
        </w:tc>
        <w:tc>
          <w:tcPr>
            <w:tcW w:w="3960" w:type="dxa"/>
          </w:tcPr>
          <w:p w14:paraId="45128A14" w14:textId="77777777" w:rsidR="007E1990" w:rsidRDefault="00144758" w:rsidP="007E1990">
            <w:pPr>
              <w:spacing w:after="120"/>
              <w:rPr>
                <w:rFonts w:ascii="Arial" w:hAnsi="Arial" w:cs="Arial"/>
                <w:sz w:val="24"/>
                <w:szCs w:val="24"/>
              </w:rPr>
            </w:pPr>
            <w:r>
              <w:rPr>
                <w:rFonts w:ascii="Arial" w:hAnsi="Arial" w:cs="Arial"/>
                <w:sz w:val="24"/>
                <w:szCs w:val="24"/>
              </w:rPr>
              <w:t>Commenter thanks the DWC for its further clarification in the revised proposed rules with respect to the posting of the PFS and NPI feeds on a weekly basis.  Commenter is pleased to see that the DWC is planning on-going weekly releases.</w:t>
            </w:r>
          </w:p>
          <w:p w14:paraId="0E940C15" w14:textId="53458293" w:rsidR="00144758" w:rsidRPr="004F1E81" w:rsidRDefault="00144758" w:rsidP="007E1990">
            <w:pPr>
              <w:spacing w:after="240"/>
              <w:rPr>
                <w:rFonts w:ascii="Arial" w:hAnsi="Arial" w:cs="Arial"/>
                <w:sz w:val="24"/>
                <w:szCs w:val="24"/>
              </w:rPr>
            </w:pPr>
            <w:r>
              <w:rPr>
                <w:rFonts w:ascii="Arial" w:hAnsi="Arial" w:cs="Arial"/>
                <w:sz w:val="24"/>
                <w:szCs w:val="24"/>
              </w:rPr>
              <w:t xml:space="preserve">Commenter requests that these weekly releases be scheduled to occur on a specified recurring day and time – e.g., every Thursday at 10:00 p.m. Pacific time.  Commenter opines that if stakeholders know what time and date the file release will take place </w:t>
            </w:r>
            <w:r>
              <w:rPr>
                <w:rFonts w:ascii="Arial" w:hAnsi="Arial" w:cs="Arial"/>
                <w:sz w:val="24"/>
                <w:szCs w:val="24"/>
              </w:rPr>
              <w:lastRenderedPageBreak/>
              <w:t xml:space="preserve">that </w:t>
            </w:r>
            <w:r w:rsidR="007E1990">
              <w:rPr>
                <w:rFonts w:ascii="Arial" w:hAnsi="Arial" w:cs="Arial"/>
                <w:sz w:val="24"/>
                <w:szCs w:val="24"/>
              </w:rPr>
              <w:t>it</w:t>
            </w:r>
            <w:r>
              <w:rPr>
                <w:rFonts w:ascii="Arial" w:hAnsi="Arial" w:cs="Arial"/>
                <w:sz w:val="24"/>
                <w:szCs w:val="24"/>
              </w:rPr>
              <w:t xml:space="preserve"> will make the process of uploading the file and implementing it into their systems much easier and less time </w:t>
            </w:r>
            <w:r w:rsidRPr="004F1E81">
              <w:rPr>
                <w:rFonts w:ascii="Arial" w:hAnsi="Arial" w:cs="Arial"/>
                <w:sz w:val="24"/>
                <w:szCs w:val="24"/>
              </w:rPr>
              <w:t>consuming.</w:t>
            </w:r>
          </w:p>
          <w:p w14:paraId="1D0C09CD" w14:textId="48C10F38" w:rsidR="00144758" w:rsidRPr="00C072DC" w:rsidRDefault="00144758" w:rsidP="00144758">
            <w:pPr>
              <w:spacing w:after="120"/>
              <w:rPr>
                <w:rFonts w:ascii="Arial" w:hAnsi="Arial" w:cs="Arial"/>
                <w:sz w:val="24"/>
                <w:szCs w:val="24"/>
              </w:rPr>
            </w:pPr>
            <w:bookmarkStart w:id="1" w:name="_Hlk181047625"/>
            <w:r w:rsidRPr="004F1E81">
              <w:rPr>
                <w:rFonts w:ascii="Arial" w:hAnsi="Arial" w:cs="Arial"/>
                <w:sz w:val="24"/>
                <w:szCs w:val="24"/>
              </w:rPr>
              <w:t xml:space="preserve">Commenter recommends that the DWC consider an “opt in” notification process, where stakeholders could sign up for automated notifications that an update to the files has been posted. Commenter also suggests that the DWC consider use of a “Beta” period to allow stakeholder to work with the uploaded files for </w:t>
            </w:r>
            <w:proofErr w:type="gramStart"/>
            <w:r w:rsidRPr="004F1E81">
              <w:rPr>
                <w:rFonts w:ascii="Arial" w:hAnsi="Arial" w:cs="Arial"/>
                <w:sz w:val="24"/>
                <w:szCs w:val="24"/>
              </w:rPr>
              <w:t>a period of time</w:t>
            </w:r>
            <w:proofErr w:type="gramEnd"/>
            <w:r w:rsidRPr="004F1E81">
              <w:rPr>
                <w:rFonts w:ascii="Arial" w:hAnsi="Arial" w:cs="Arial"/>
                <w:sz w:val="24"/>
                <w:szCs w:val="24"/>
              </w:rPr>
              <w:t xml:space="preserve"> in a testing environment prior to “going live.”</w:t>
            </w:r>
            <w:bookmarkEnd w:id="1"/>
          </w:p>
        </w:tc>
        <w:tc>
          <w:tcPr>
            <w:tcW w:w="2677" w:type="dxa"/>
          </w:tcPr>
          <w:p w14:paraId="228C74C8" w14:textId="77777777" w:rsidR="00144758" w:rsidRDefault="00144758" w:rsidP="00144758">
            <w:pPr>
              <w:rPr>
                <w:rFonts w:ascii="Arial" w:hAnsi="Arial" w:cs="Arial"/>
                <w:sz w:val="24"/>
                <w:szCs w:val="24"/>
              </w:rPr>
            </w:pPr>
            <w:r>
              <w:rPr>
                <w:rFonts w:ascii="Arial" w:hAnsi="Arial" w:cs="Arial"/>
                <w:sz w:val="24"/>
                <w:szCs w:val="24"/>
              </w:rPr>
              <w:lastRenderedPageBreak/>
              <w:t>Lisa Anne Hurt-Forsythe, Vice President, Government Affairs – American Association of Payers, Administrators, and Networks (AAPAN)</w:t>
            </w:r>
          </w:p>
          <w:p w14:paraId="0168E830" w14:textId="77777777" w:rsidR="00144758" w:rsidRDefault="00144758" w:rsidP="00144758">
            <w:pPr>
              <w:rPr>
                <w:rFonts w:ascii="Arial" w:hAnsi="Arial" w:cs="Arial"/>
                <w:sz w:val="24"/>
                <w:szCs w:val="24"/>
              </w:rPr>
            </w:pPr>
            <w:r>
              <w:rPr>
                <w:rFonts w:ascii="Arial" w:hAnsi="Arial" w:cs="Arial"/>
                <w:sz w:val="24"/>
                <w:szCs w:val="24"/>
              </w:rPr>
              <w:t>October 23, 2024</w:t>
            </w:r>
          </w:p>
          <w:p w14:paraId="71E0C40D" w14:textId="30A03083" w:rsidR="00144758" w:rsidRDefault="00144758" w:rsidP="00144758">
            <w:pPr>
              <w:rPr>
                <w:rFonts w:ascii="Arial" w:hAnsi="Arial" w:cs="Arial"/>
                <w:sz w:val="24"/>
                <w:szCs w:val="24"/>
              </w:rPr>
            </w:pPr>
            <w:r>
              <w:rPr>
                <w:rFonts w:ascii="Arial" w:hAnsi="Arial" w:cs="Arial"/>
                <w:sz w:val="24"/>
                <w:szCs w:val="24"/>
              </w:rPr>
              <w:t>Written Comment</w:t>
            </w:r>
          </w:p>
        </w:tc>
        <w:tc>
          <w:tcPr>
            <w:tcW w:w="2903" w:type="dxa"/>
          </w:tcPr>
          <w:p w14:paraId="7050E34D" w14:textId="77777777" w:rsidR="00144758" w:rsidRDefault="00144758" w:rsidP="00144758">
            <w:pPr>
              <w:rPr>
                <w:rFonts w:ascii="Arial" w:hAnsi="Arial" w:cs="Arial"/>
                <w:sz w:val="24"/>
                <w:szCs w:val="24"/>
              </w:rPr>
            </w:pPr>
            <w:r>
              <w:rPr>
                <w:rFonts w:ascii="Arial" w:hAnsi="Arial" w:cs="Arial"/>
                <w:sz w:val="24"/>
                <w:szCs w:val="24"/>
              </w:rPr>
              <w:t>DWC notes commenter’s support for clarification that the PFS Data File and NPI Medi-Cal File will be posted on a weekly basis.</w:t>
            </w:r>
          </w:p>
          <w:p w14:paraId="2EAD143B" w14:textId="77777777" w:rsidR="00144758" w:rsidRDefault="00144758" w:rsidP="00144758">
            <w:pPr>
              <w:rPr>
                <w:rFonts w:ascii="Arial" w:hAnsi="Arial" w:cs="Arial"/>
                <w:sz w:val="24"/>
                <w:szCs w:val="24"/>
              </w:rPr>
            </w:pPr>
            <w:r>
              <w:rPr>
                <w:rFonts w:ascii="Arial" w:hAnsi="Arial" w:cs="Arial"/>
                <w:sz w:val="24"/>
                <w:szCs w:val="24"/>
              </w:rPr>
              <w:t xml:space="preserve">DWC acknowledges that it would be useful for stakeholders to know that the posting of updates would occur on a consistent day and time. The DWC will endeavor to provide consistency for the public and will provide </w:t>
            </w:r>
            <w:r>
              <w:rPr>
                <w:rFonts w:ascii="Arial" w:hAnsi="Arial" w:cs="Arial"/>
                <w:sz w:val="24"/>
                <w:szCs w:val="24"/>
              </w:rPr>
              <w:lastRenderedPageBreak/>
              <w:t>the public information on the scheduled postings. However, due to potential changes that may occur in the schedule for receiving the Medi-Cal feed, and due to potential technical issues, it would not be appropriate to set a specific day and time in regulation since it would take a rulemaking action to effectuate a change.</w:t>
            </w:r>
          </w:p>
          <w:p w14:paraId="56CE2AF8" w14:textId="4ED0D45E" w:rsidR="00AD33D0" w:rsidRPr="00C072DC" w:rsidRDefault="00AD33D0" w:rsidP="00144758">
            <w:pPr>
              <w:rPr>
                <w:rFonts w:ascii="Arial" w:hAnsi="Arial" w:cs="Arial"/>
                <w:sz w:val="24"/>
                <w:szCs w:val="24"/>
              </w:rPr>
            </w:pPr>
            <w:r>
              <w:rPr>
                <w:rFonts w:ascii="Arial" w:hAnsi="Arial" w:cs="Arial"/>
                <w:sz w:val="24"/>
                <w:szCs w:val="24"/>
              </w:rPr>
              <w:t>Commenter’s suggestion for an automated notification process for updated files is noted and will be considered for implementation. DWC does intend to provide files before the “go live” date for stakeholder use in development and testing.</w:t>
            </w:r>
          </w:p>
        </w:tc>
        <w:tc>
          <w:tcPr>
            <w:tcW w:w="2325" w:type="dxa"/>
          </w:tcPr>
          <w:p w14:paraId="3E535CDC" w14:textId="66800FD3" w:rsidR="00144758" w:rsidRPr="00C072DC" w:rsidRDefault="00144758" w:rsidP="00144758">
            <w:pPr>
              <w:rPr>
                <w:rFonts w:ascii="Arial" w:hAnsi="Arial" w:cs="Arial"/>
                <w:sz w:val="24"/>
                <w:szCs w:val="24"/>
              </w:rPr>
            </w:pPr>
            <w:r>
              <w:rPr>
                <w:rFonts w:ascii="Arial" w:hAnsi="Arial" w:cs="Arial"/>
                <w:sz w:val="24"/>
                <w:szCs w:val="24"/>
              </w:rPr>
              <w:lastRenderedPageBreak/>
              <w:t>No action necessary.</w:t>
            </w:r>
          </w:p>
        </w:tc>
      </w:tr>
    </w:tbl>
    <w:p w14:paraId="1643609F" w14:textId="77777777" w:rsidR="00C072DC" w:rsidRPr="00C072DC" w:rsidRDefault="00C072DC">
      <w:pPr>
        <w:rPr>
          <w:rFonts w:ascii="Arial" w:hAnsi="Arial" w:cs="Arial"/>
          <w:sz w:val="24"/>
          <w:szCs w:val="24"/>
        </w:rPr>
      </w:pPr>
    </w:p>
    <w:sectPr w:rsidR="00C072DC" w:rsidRPr="00C072DC" w:rsidSect="0070116D">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510B" w14:textId="77777777" w:rsidR="0070116D" w:rsidRDefault="0070116D">
      <w:r>
        <w:separator/>
      </w:r>
    </w:p>
  </w:endnote>
  <w:endnote w:type="continuationSeparator" w:id="0">
    <w:p w14:paraId="33BBC4B8" w14:textId="77777777" w:rsidR="0070116D" w:rsidRDefault="007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835B" w14:textId="77777777" w:rsidR="009D5B75" w:rsidRPr="00C072DC" w:rsidRDefault="009D5B75" w:rsidP="00B36543">
    <w:pPr>
      <w:pStyle w:val="Footer"/>
      <w:jc w:val="right"/>
      <w:rPr>
        <w:rFonts w:ascii="Arial" w:hAnsi="Arial" w:cs="Arial"/>
        <w:sz w:val="24"/>
        <w:szCs w:val="24"/>
      </w:rPr>
    </w:pPr>
    <w:r w:rsidRPr="00C072DC">
      <w:rPr>
        <w:rFonts w:ascii="Arial" w:hAnsi="Arial" w:cs="Arial"/>
        <w:sz w:val="24"/>
        <w:szCs w:val="24"/>
      </w:rPr>
      <w:t xml:space="preserve">Page </w:t>
    </w:r>
    <w:r w:rsidRPr="00C072DC">
      <w:rPr>
        <w:rFonts w:ascii="Arial" w:hAnsi="Arial" w:cs="Arial"/>
        <w:sz w:val="24"/>
        <w:szCs w:val="24"/>
      </w:rPr>
      <w:fldChar w:fldCharType="begin"/>
    </w:r>
    <w:r w:rsidRPr="00C072DC">
      <w:rPr>
        <w:rFonts w:ascii="Arial" w:hAnsi="Arial" w:cs="Arial"/>
        <w:sz w:val="24"/>
        <w:szCs w:val="24"/>
      </w:rPr>
      <w:instrText xml:space="preserve"> PAGE </w:instrText>
    </w:r>
    <w:r w:rsidRPr="00C072DC">
      <w:rPr>
        <w:rFonts w:ascii="Arial" w:hAnsi="Arial" w:cs="Arial"/>
        <w:sz w:val="24"/>
        <w:szCs w:val="24"/>
      </w:rPr>
      <w:fldChar w:fldCharType="separate"/>
    </w:r>
    <w:r w:rsidR="006C4C72" w:rsidRPr="00C072DC">
      <w:rPr>
        <w:rFonts w:ascii="Arial" w:hAnsi="Arial" w:cs="Arial"/>
        <w:noProof/>
        <w:sz w:val="24"/>
        <w:szCs w:val="24"/>
      </w:rPr>
      <w:t>1</w:t>
    </w:r>
    <w:r w:rsidRPr="00C072DC">
      <w:rPr>
        <w:rFonts w:ascii="Arial" w:hAnsi="Arial" w:cs="Arial"/>
        <w:sz w:val="24"/>
        <w:szCs w:val="24"/>
      </w:rPr>
      <w:fldChar w:fldCharType="end"/>
    </w:r>
    <w:r w:rsidRPr="00C072DC">
      <w:rPr>
        <w:rFonts w:ascii="Arial" w:hAnsi="Arial" w:cs="Arial"/>
        <w:sz w:val="24"/>
        <w:szCs w:val="24"/>
      </w:rPr>
      <w:t xml:space="preserve"> of </w:t>
    </w:r>
    <w:r w:rsidRPr="00C072DC">
      <w:rPr>
        <w:rFonts w:ascii="Arial" w:hAnsi="Arial" w:cs="Arial"/>
        <w:sz w:val="24"/>
        <w:szCs w:val="24"/>
      </w:rPr>
      <w:fldChar w:fldCharType="begin"/>
    </w:r>
    <w:r w:rsidRPr="00C072DC">
      <w:rPr>
        <w:rFonts w:ascii="Arial" w:hAnsi="Arial" w:cs="Arial"/>
        <w:sz w:val="24"/>
        <w:szCs w:val="24"/>
      </w:rPr>
      <w:instrText xml:space="preserve"> NUMPAGES </w:instrText>
    </w:r>
    <w:r w:rsidRPr="00C072DC">
      <w:rPr>
        <w:rFonts w:ascii="Arial" w:hAnsi="Arial" w:cs="Arial"/>
        <w:sz w:val="24"/>
        <w:szCs w:val="24"/>
      </w:rPr>
      <w:fldChar w:fldCharType="separate"/>
    </w:r>
    <w:r w:rsidR="006C4C72" w:rsidRPr="00C072DC">
      <w:rPr>
        <w:rFonts w:ascii="Arial" w:hAnsi="Arial" w:cs="Arial"/>
        <w:noProof/>
        <w:sz w:val="24"/>
        <w:szCs w:val="24"/>
      </w:rPr>
      <w:t>2</w:t>
    </w:r>
    <w:r w:rsidRPr="00C072DC">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39AE" w14:textId="77777777" w:rsidR="0070116D" w:rsidRDefault="0070116D">
      <w:r>
        <w:separator/>
      </w:r>
    </w:p>
  </w:footnote>
  <w:footnote w:type="continuationSeparator" w:id="0">
    <w:p w14:paraId="72F45AF9" w14:textId="77777777" w:rsidR="0070116D" w:rsidRDefault="0070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E7E6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5640B"/>
    <w:multiLevelType w:val="hybridMultilevel"/>
    <w:tmpl w:val="5B5E94C2"/>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8D7F0A"/>
    <w:multiLevelType w:val="hybridMultilevel"/>
    <w:tmpl w:val="FFFFFFFF"/>
    <w:lvl w:ilvl="0" w:tplc="FFFFFFFF">
      <w:start w:val="1"/>
      <w:numFmt w:val="ideographDigital"/>
      <w:lvlText w:val=""/>
      <w:lvlJc w:val="left"/>
    </w:lvl>
    <w:lvl w:ilvl="1" w:tplc="FFFFFFFF">
      <w:start w:val="1"/>
      <w:numFmt w:val="lowerLetter"/>
      <w:lvlText w:val=""/>
      <w:lvlJc w:val="left"/>
    </w:lvl>
    <w:lvl w:ilvl="2" w:tplc="CC80D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2670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B46154"/>
    <w:multiLevelType w:val="hybridMultilevel"/>
    <w:tmpl w:val="0F86CD84"/>
    <w:lvl w:ilvl="0" w:tplc="615A4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08EB"/>
    <w:multiLevelType w:val="hybridMultilevel"/>
    <w:tmpl w:val="BE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42D91"/>
    <w:multiLevelType w:val="hybridMultilevel"/>
    <w:tmpl w:val="AD0E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A67FA8"/>
    <w:multiLevelType w:val="hybridMultilevel"/>
    <w:tmpl w:val="967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3F9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A02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E35B4B"/>
    <w:multiLevelType w:val="hybridMultilevel"/>
    <w:tmpl w:val="E8EAEAC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705F05"/>
    <w:multiLevelType w:val="hybridMultilevel"/>
    <w:tmpl w:val="F798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F13830"/>
    <w:multiLevelType w:val="hybridMultilevel"/>
    <w:tmpl w:val="8CFA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A83022"/>
    <w:multiLevelType w:val="hybridMultilevel"/>
    <w:tmpl w:val="95AA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C01C1"/>
    <w:multiLevelType w:val="hybridMultilevel"/>
    <w:tmpl w:val="D600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7426234">
    <w:abstractNumId w:val="5"/>
  </w:num>
  <w:num w:numId="2" w16cid:durableId="70740338">
    <w:abstractNumId w:val="19"/>
  </w:num>
  <w:num w:numId="3" w16cid:durableId="374425646">
    <w:abstractNumId w:val="4"/>
  </w:num>
  <w:num w:numId="4" w16cid:durableId="1463117426">
    <w:abstractNumId w:val="10"/>
  </w:num>
  <w:num w:numId="5" w16cid:durableId="2147045079">
    <w:abstractNumId w:val="22"/>
  </w:num>
  <w:num w:numId="6" w16cid:durableId="1592665620">
    <w:abstractNumId w:val="17"/>
  </w:num>
  <w:num w:numId="7" w16cid:durableId="359668771">
    <w:abstractNumId w:val="18"/>
  </w:num>
  <w:num w:numId="8" w16cid:durableId="475296040">
    <w:abstractNumId w:val="26"/>
  </w:num>
  <w:num w:numId="9" w16cid:durableId="1376080289">
    <w:abstractNumId w:val="21"/>
  </w:num>
  <w:num w:numId="10" w16cid:durableId="1343816491">
    <w:abstractNumId w:val="15"/>
  </w:num>
  <w:num w:numId="11" w16cid:durableId="1214268646">
    <w:abstractNumId w:val="23"/>
  </w:num>
  <w:num w:numId="12" w16cid:durableId="1919636358">
    <w:abstractNumId w:val="9"/>
  </w:num>
  <w:num w:numId="13" w16cid:durableId="1984969018">
    <w:abstractNumId w:val="8"/>
  </w:num>
  <w:num w:numId="14" w16cid:durableId="281157666">
    <w:abstractNumId w:val="24"/>
  </w:num>
  <w:num w:numId="15" w16cid:durableId="860313719">
    <w:abstractNumId w:val="7"/>
  </w:num>
  <w:num w:numId="16" w16cid:durableId="776212538">
    <w:abstractNumId w:val="2"/>
  </w:num>
  <w:num w:numId="17" w16cid:durableId="208147881">
    <w:abstractNumId w:val="6"/>
  </w:num>
  <w:num w:numId="18" w16cid:durableId="1363824344">
    <w:abstractNumId w:val="1"/>
  </w:num>
  <w:num w:numId="19" w16cid:durableId="954019978">
    <w:abstractNumId w:val="20"/>
  </w:num>
  <w:num w:numId="20" w16cid:durableId="472018361">
    <w:abstractNumId w:val="12"/>
  </w:num>
  <w:num w:numId="21" w16cid:durableId="1922761832">
    <w:abstractNumId w:val="3"/>
  </w:num>
  <w:num w:numId="22" w16cid:durableId="526984622">
    <w:abstractNumId w:val="11"/>
  </w:num>
  <w:num w:numId="23" w16cid:durableId="2084911691">
    <w:abstractNumId w:val="0"/>
  </w:num>
  <w:num w:numId="24" w16cid:durableId="1224441821">
    <w:abstractNumId w:val="13"/>
  </w:num>
  <w:num w:numId="25" w16cid:durableId="135531274">
    <w:abstractNumId w:val="14"/>
  </w:num>
  <w:num w:numId="26" w16cid:durableId="298339165">
    <w:abstractNumId w:val="25"/>
  </w:num>
  <w:num w:numId="27" w16cid:durableId="8825950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65"/>
    <w:rsid w:val="00006229"/>
    <w:rsid w:val="00006C02"/>
    <w:rsid w:val="000133AC"/>
    <w:rsid w:val="00013AD7"/>
    <w:rsid w:val="00013B6A"/>
    <w:rsid w:val="00020D77"/>
    <w:rsid w:val="00020F42"/>
    <w:rsid w:val="00021190"/>
    <w:rsid w:val="00021AF4"/>
    <w:rsid w:val="00023E9B"/>
    <w:rsid w:val="00024446"/>
    <w:rsid w:val="00026B11"/>
    <w:rsid w:val="0002796C"/>
    <w:rsid w:val="00027CAE"/>
    <w:rsid w:val="00030488"/>
    <w:rsid w:val="0003358B"/>
    <w:rsid w:val="00046F94"/>
    <w:rsid w:val="00050024"/>
    <w:rsid w:val="00052D0F"/>
    <w:rsid w:val="00062AA3"/>
    <w:rsid w:val="00062FBC"/>
    <w:rsid w:val="0006376D"/>
    <w:rsid w:val="000644D6"/>
    <w:rsid w:val="000644E1"/>
    <w:rsid w:val="00064C06"/>
    <w:rsid w:val="0006500A"/>
    <w:rsid w:val="00066591"/>
    <w:rsid w:val="000668BF"/>
    <w:rsid w:val="00071700"/>
    <w:rsid w:val="0007483E"/>
    <w:rsid w:val="00077C0F"/>
    <w:rsid w:val="00081A50"/>
    <w:rsid w:val="00085AE9"/>
    <w:rsid w:val="00085B61"/>
    <w:rsid w:val="0009000D"/>
    <w:rsid w:val="00090106"/>
    <w:rsid w:val="000921EE"/>
    <w:rsid w:val="00094D0C"/>
    <w:rsid w:val="000A0702"/>
    <w:rsid w:val="000A09EF"/>
    <w:rsid w:val="000A0E02"/>
    <w:rsid w:val="000A38EE"/>
    <w:rsid w:val="000B6695"/>
    <w:rsid w:val="000C1385"/>
    <w:rsid w:val="000C50F7"/>
    <w:rsid w:val="000C5F33"/>
    <w:rsid w:val="000C79FE"/>
    <w:rsid w:val="000D07AE"/>
    <w:rsid w:val="000D10FB"/>
    <w:rsid w:val="000D169E"/>
    <w:rsid w:val="000D3E0C"/>
    <w:rsid w:val="000D53FE"/>
    <w:rsid w:val="000D5420"/>
    <w:rsid w:val="000D7D5A"/>
    <w:rsid w:val="000E08D0"/>
    <w:rsid w:val="000E2318"/>
    <w:rsid w:val="000E3124"/>
    <w:rsid w:val="000E4491"/>
    <w:rsid w:val="000E54B6"/>
    <w:rsid w:val="000E5B03"/>
    <w:rsid w:val="000F4965"/>
    <w:rsid w:val="000F6C80"/>
    <w:rsid w:val="0011032B"/>
    <w:rsid w:val="0011144B"/>
    <w:rsid w:val="001151F6"/>
    <w:rsid w:val="001162E0"/>
    <w:rsid w:val="00116337"/>
    <w:rsid w:val="00117612"/>
    <w:rsid w:val="00121EAE"/>
    <w:rsid w:val="00122ED3"/>
    <w:rsid w:val="001231F1"/>
    <w:rsid w:val="00123877"/>
    <w:rsid w:val="00123A88"/>
    <w:rsid w:val="001240FF"/>
    <w:rsid w:val="00125807"/>
    <w:rsid w:val="00131FFC"/>
    <w:rsid w:val="0013460F"/>
    <w:rsid w:val="00134FF3"/>
    <w:rsid w:val="00135B9E"/>
    <w:rsid w:val="00137888"/>
    <w:rsid w:val="0014319E"/>
    <w:rsid w:val="00144758"/>
    <w:rsid w:val="00146329"/>
    <w:rsid w:val="001538B5"/>
    <w:rsid w:val="00153F6A"/>
    <w:rsid w:val="00157798"/>
    <w:rsid w:val="00157974"/>
    <w:rsid w:val="00164340"/>
    <w:rsid w:val="001656E4"/>
    <w:rsid w:val="00171522"/>
    <w:rsid w:val="001715F5"/>
    <w:rsid w:val="0017452E"/>
    <w:rsid w:val="001801FA"/>
    <w:rsid w:val="00180538"/>
    <w:rsid w:val="00190583"/>
    <w:rsid w:val="001905E2"/>
    <w:rsid w:val="00191CDC"/>
    <w:rsid w:val="00192637"/>
    <w:rsid w:val="00194EC1"/>
    <w:rsid w:val="001952C6"/>
    <w:rsid w:val="001A0547"/>
    <w:rsid w:val="001A1E93"/>
    <w:rsid w:val="001A248E"/>
    <w:rsid w:val="001A7F28"/>
    <w:rsid w:val="001B111F"/>
    <w:rsid w:val="001B1890"/>
    <w:rsid w:val="001B59A7"/>
    <w:rsid w:val="001C2317"/>
    <w:rsid w:val="001C6BD2"/>
    <w:rsid w:val="001C6C2C"/>
    <w:rsid w:val="001D1217"/>
    <w:rsid w:val="001D20AB"/>
    <w:rsid w:val="001D3178"/>
    <w:rsid w:val="001D4E45"/>
    <w:rsid w:val="001E333F"/>
    <w:rsid w:val="001E6B0E"/>
    <w:rsid w:val="001F7C01"/>
    <w:rsid w:val="002009CF"/>
    <w:rsid w:val="002106BF"/>
    <w:rsid w:val="00220833"/>
    <w:rsid w:val="00220A5B"/>
    <w:rsid w:val="00221FA6"/>
    <w:rsid w:val="00222188"/>
    <w:rsid w:val="0022392E"/>
    <w:rsid w:val="00223B2E"/>
    <w:rsid w:val="002247EB"/>
    <w:rsid w:val="00227584"/>
    <w:rsid w:val="002350C8"/>
    <w:rsid w:val="00237CFD"/>
    <w:rsid w:val="00241A10"/>
    <w:rsid w:val="00245C58"/>
    <w:rsid w:val="00246397"/>
    <w:rsid w:val="0024645A"/>
    <w:rsid w:val="00251FD9"/>
    <w:rsid w:val="002532B0"/>
    <w:rsid w:val="0025468C"/>
    <w:rsid w:val="00257ED1"/>
    <w:rsid w:val="002619C4"/>
    <w:rsid w:val="00262614"/>
    <w:rsid w:val="00264519"/>
    <w:rsid w:val="002645F7"/>
    <w:rsid w:val="0026463D"/>
    <w:rsid w:val="00265EE1"/>
    <w:rsid w:val="00271E80"/>
    <w:rsid w:val="00275054"/>
    <w:rsid w:val="00275744"/>
    <w:rsid w:val="00275CB5"/>
    <w:rsid w:val="00276D40"/>
    <w:rsid w:val="002805AB"/>
    <w:rsid w:val="00280868"/>
    <w:rsid w:val="0028330D"/>
    <w:rsid w:val="00283595"/>
    <w:rsid w:val="002842EE"/>
    <w:rsid w:val="00292939"/>
    <w:rsid w:val="00296485"/>
    <w:rsid w:val="00296934"/>
    <w:rsid w:val="002A0C37"/>
    <w:rsid w:val="002A1DAA"/>
    <w:rsid w:val="002A2D7B"/>
    <w:rsid w:val="002A3A8C"/>
    <w:rsid w:val="002A5876"/>
    <w:rsid w:val="002A5CFA"/>
    <w:rsid w:val="002B69FC"/>
    <w:rsid w:val="002B6B78"/>
    <w:rsid w:val="002C03A9"/>
    <w:rsid w:val="002C058F"/>
    <w:rsid w:val="002C2391"/>
    <w:rsid w:val="002C5A87"/>
    <w:rsid w:val="002D2195"/>
    <w:rsid w:val="002D2D35"/>
    <w:rsid w:val="002D45CF"/>
    <w:rsid w:val="002D4FE6"/>
    <w:rsid w:val="002D646A"/>
    <w:rsid w:val="002E00C9"/>
    <w:rsid w:val="002E1DBE"/>
    <w:rsid w:val="002E1ED0"/>
    <w:rsid w:val="002E2AF9"/>
    <w:rsid w:val="002E4FE8"/>
    <w:rsid w:val="002E7ACE"/>
    <w:rsid w:val="002F272A"/>
    <w:rsid w:val="002F2788"/>
    <w:rsid w:val="002F3981"/>
    <w:rsid w:val="00301F71"/>
    <w:rsid w:val="00303C68"/>
    <w:rsid w:val="00314139"/>
    <w:rsid w:val="0031601F"/>
    <w:rsid w:val="0031661D"/>
    <w:rsid w:val="00316777"/>
    <w:rsid w:val="00316FDC"/>
    <w:rsid w:val="00320F9E"/>
    <w:rsid w:val="00324991"/>
    <w:rsid w:val="0032591B"/>
    <w:rsid w:val="003308D7"/>
    <w:rsid w:val="00332C68"/>
    <w:rsid w:val="00332EF7"/>
    <w:rsid w:val="0033426B"/>
    <w:rsid w:val="0033568E"/>
    <w:rsid w:val="00335E35"/>
    <w:rsid w:val="00336BDC"/>
    <w:rsid w:val="00342614"/>
    <w:rsid w:val="003442BF"/>
    <w:rsid w:val="00345291"/>
    <w:rsid w:val="00346E21"/>
    <w:rsid w:val="003529E7"/>
    <w:rsid w:val="00357644"/>
    <w:rsid w:val="00363012"/>
    <w:rsid w:val="003647A8"/>
    <w:rsid w:val="003650BB"/>
    <w:rsid w:val="00365C25"/>
    <w:rsid w:val="00367E24"/>
    <w:rsid w:val="0037060E"/>
    <w:rsid w:val="00371884"/>
    <w:rsid w:val="00372F62"/>
    <w:rsid w:val="0037490F"/>
    <w:rsid w:val="003766FC"/>
    <w:rsid w:val="00376AB4"/>
    <w:rsid w:val="00381275"/>
    <w:rsid w:val="00381D23"/>
    <w:rsid w:val="00383998"/>
    <w:rsid w:val="00387D43"/>
    <w:rsid w:val="003A1A83"/>
    <w:rsid w:val="003A2063"/>
    <w:rsid w:val="003A3746"/>
    <w:rsid w:val="003B06EF"/>
    <w:rsid w:val="003B1F1C"/>
    <w:rsid w:val="003B1F9A"/>
    <w:rsid w:val="003B338C"/>
    <w:rsid w:val="003B371D"/>
    <w:rsid w:val="003B51F2"/>
    <w:rsid w:val="003C14FD"/>
    <w:rsid w:val="003C50D4"/>
    <w:rsid w:val="003C655C"/>
    <w:rsid w:val="003C6CEF"/>
    <w:rsid w:val="003C71AD"/>
    <w:rsid w:val="003C7C4D"/>
    <w:rsid w:val="003D171A"/>
    <w:rsid w:val="003D18A1"/>
    <w:rsid w:val="003D3C3F"/>
    <w:rsid w:val="003D4D6C"/>
    <w:rsid w:val="003D6B03"/>
    <w:rsid w:val="003D6C5F"/>
    <w:rsid w:val="003E21DC"/>
    <w:rsid w:val="003E3E74"/>
    <w:rsid w:val="003F15FE"/>
    <w:rsid w:val="003F33D6"/>
    <w:rsid w:val="003F5AF1"/>
    <w:rsid w:val="004001B8"/>
    <w:rsid w:val="00400AB5"/>
    <w:rsid w:val="00401FF4"/>
    <w:rsid w:val="00402C33"/>
    <w:rsid w:val="00403046"/>
    <w:rsid w:val="00407FCD"/>
    <w:rsid w:val="00413DB2"/>
    <w:rsid w:val="004173D4"/>
    <w:rsid w:val="00417FE9"/>
    <w:rsid w:val="004206D7"/>
    <w:rsid w:val="0042075C"/>
    <w:rsid w:val="004229E5"/>
    <w:rsid w:val="00424493"/>
    <w:rsid w:val="00426F0D"/>
    <w:rsid w:val="0043094A"/>
    <w:rsid w:val="00432451"/>
    <w:rsid w:val="00432535"/>
    <w:rsid w:val="00433005"/>
    <w:rsid w:val="00435384"/>
    <w:rsid w:val="00435456"/>
    <w:rsid w:val="00441295"/>
    <w:rsid w:val="004428CA"/>
    <w:rsid w:val="00447878"/>
    <w:rsid w:val="00452D9E"/>
    <w:rsid w:val="004549A7"/>
    <w:rsid w:val="00454BF6"/>
    <w:rsid w:val="00455B09"/>
    <w:rsid w:val="0045614C"/>
    <w:rsid w:val="00462943"/>
    <w:rsid w:val="00462950"/>
    <w:rsid w:val="00463864"/>
    <w:rsid w:val="00470F15"/>
    <w:rsid w:val="004727C4"/>
    <w:rsid w:val="004837FF"/>
    <w:rsid w:val="004855D9"/>
    <w:rsid w:val="0049034A"/>
    <w:rsid w:val="00490C38"/>
    <w:rsid w:val="00496B20"/>
    <w:rsid w:val="00496E25"/>
    <w:rsid w:val="004A0269"/>
    <w:rsid w:val="004A251D"/>
    <w:rsid w:val="004A3F46"/>
    <w:rsid w:val="004A4B7B"/>
    <w:rsid w:val="004A647F"/>
    <w:rsid w:val="004B1C06"/>
    <w:rsid w:val="004B3CD7"/>
    <w:rsid w:val="004B4CEF"/>
    <w:rsid w:val="004B5BD0"/>
    <w:rsid w:val="004B5D8D"/>
    <w:rsid w:val="004B5DD5"/>
    <w:rsid w:val="004C0A86"/>
    <w:rsid w:val="004C69CF"/>
    <w:rsid w:val="004C72B5"/>
    <w:rsid w:val="004D17DD"/>
    <w:rsid w:val="004D3C65"/>
    <w:rsid w:val="004D5B92"/>
    <w:rsid w:val="004D6702"/>
    <w:rsid w:val="004D689D"/>
    <w:rsid w:val="004D782D"/>
    <w:rsid w:val="004E0797"/>
    <w:rsid w:val="004E1745"/>
    <w:rsid w:val="004E2BB2"/>
    <w:rsid w:val="004E7B64"/>
    <w:rsid w:val="004E7DF7"/>
    <w:rsid w:val="004F03F0"/>
    <w:rsid w:val="004F1D3F"/>
    <w:rsid w:val="004F1E81"/>
    <w:rsid w:val="004F4515"/>
    <w:rsid w:val="004F4D36"/>
    <w:rsid w:val="004F77F2"/>
    <w:rsid w:val="00515C8B"/>
    <w:rsid w:val="0051729A"/>
    <w:rsid w:val="00521ED6"/>
    <w:rsid w:val="00524467"/>
    <w:rsid w:val="0052729D"/>
    <w:rsid w:val="00527778"/>
    <w:rsid w:val="0053197F"/>
    <w:rsid w:val="00531B93"/>
    <w:rsid w:val="0053638D"/>
    <w:rsid w:val="00542E5A"/>
    <w:rsid w:val="00543268"/>
    <w:rsid w:val="0055359A"/>
    <w:rsid w:val="00556CE1"/>
    <w:rsid w:val="00557436"/>
    <w:rsid w:val="005623FA"/>
    <w:rsid w:val="00566B81"/>
    <w:rsid w:val="00567D2E"/>
    <w:rsid w:val="005727EF"/>
    <w:rsid w:val="00572A28"/>
    <w:rsid w:val="0057463E"/>
    <w:rsid w:val="0058178F"/>
    <w:rsid w:val="00581A27"/>
    <w:rsid w:val="00582C6C"/>
    <w:rsid w:val="005842B7"/>
    <w:rsid w:val="00587DCF"/>
    <w:rsid w:val="005904FF"/>
    <w:rsid w:val="005946BE"/>
    <w:rsid w:val="005956E9"/>
    <w:rsid w:val="005A102B"/>
    <w:rsid w:val="005A56F7"/>
    <w:rsid w:val="005B05C3"/>
    <w:rsid w:val="005B0C55"/>
    <w:rsid w:val="005B33EC"/>
    <w:rsid w:val="005B5322"/>
    <w:rsid w:val="005B5828"/>
    <w:rsid w:val="005B59D5"/>
    <w:rsid w:val="005B6871"/>
    <w:rsid w:val="005C081F"/>
    <w:rsid w:val="005C0B1E"/>
    <w:rsid w:val="005C23AC"/>
    <w:rsid w:val="005C3065"/>
    <w:rsid w:val="005C6109"/>
    <w:rsid w:val="005D47FA"/>
    <w:rsid w:val="005D4AF6"/>
    <w:rsid w:val="005D5D58"/>
    <w:rsid w:val="005D6681"/>
    <w:rsid w:val="005E1385"/>
    <w:rsid w:val="005E2323"/>
    <w:rsid w:val="005E40E3"/>
    <w:rsid w:val="005E74AB"/>
    <w:rsid w:val="005F4A43"/>
    <w:rsid w:val="005F5E2C"/>
    <w:rsid w:val="00601222"/>
    <w:rsid w:val="00605F53"/>
    <w:rsid w:val="00606751"/>
    <w:rsid w:val="006075F5"/>
    <w:rsid w:val="00610087"/>
    <w:rsid w:val="006122F2"/>
    <w:rsid w:val="00613EA2"/>
    <w:rsid w:val="0061704F"/>
    <w:rsid w:val="006177CD"/>
    <w:rsid w:val="00622A8E"/>
    <w:rsid w:val="00623906"/>
    <w:rsid w:val="006318B0"/>
    <w:rsid w:val="006344D5"/>
    <w:rsid w:val="00634C5B"/>
    <w:rsid w:val="00634E4F"/>
    <w:rsid w:val="00637568"/>
    <w:rsid w:val="00637CF2"/>
    <w:rsid w:val="00643163"/>
    <w:rsid w:val="0064402F"/>
    <w:rsid w:val="006441E3"/>
    <w:rsid w:val="0064487F"/>
    <w:rsid w:val="00645279"/>
    <w:rsid w:val="0064551F"/>
    <w:rsid w:val="006468B4"/>
    <w:rsid w:val="006506E8"/>
    <w:rsid w:val="00654202"/>
    <w:rsid w:val="00665521"/>
    <w:rsid w:val="00666E8B"/>
    <w:rsid w:val="006679E4"/>
    <w:rsid w:val="0067071A"/>
    <w:rsid w:val="006731CF"/>
    <w:rsid w:val="00675316"/>
    <w:rsid w:val="00677321"/>
    <w:rsid w:val="00680453"/>
    <w:rsid w:val="0068339A"/>
    <w:rsid w:val="00697C2B"/>
    <w:rsid w:val="00697ED4"/>
    <w:rsid w:val="006A13E3"/>
    <w:rsid w:val="006A1F71"/>
    <w:rsid w:val="006A3A2B"/>
    <w:rsid w:val="006A3BA7"/>
    <w:rsid w:val="006A4181"/>
    <w:rsid w:val="006B0C7F"/>
    <w:rsid w:val="006B25DD"/>
    <w:rsid w:val="006B29CA"/>
    <w:rsid w:val="006B36AA"/>
    <w:rsid w:val="006B46F0"/>
    <w:rsid w:val="006B70CA"/>
    <w:rsid w:val="006B7B56"/>
    <w:rsid w:val="006C0BDC"/>
    <w:rsid w:val="006C27FD"/>
    <w:rsid w:val="006C4C72"/>
    <w:rsid w:val="006C7DA9"/>
    <w:rsid w:val="006D1868"/>
    <w:rsid w:val="006D193A"/>
    <w:rsid w:val="006D1E6D"/>
    <w:rsid w:val="006D4CD8"/>
    <w:rsid w:val="006F1245"/>
    <w:rsid w:val="006F1C36"/>
    <w:rsid w:val="006F1EC9"/>
    <w:rsid w:val="006F26CB"/>
    <w:rsid w:val="006F38FF"/>
    <w:rsid w:val="006F417B"/>
    <w:rsid w:val="006F51AA"/>
    <w:rsid w:val="006F6BD1"/>
    <w:rsid w:val="006F6D30"/>
    <w:rsid w:val="00700172"/>
    <w:rsid w:val="0070116D"/>
    <w:rsid w:val="00703CB5"/>
    <w:rsid w:val="00705CF7"/>
    <w:rsid w:val="00716A81"/>
    <w:rsid w:val="00717A4E"/>
    <w:rsid w:val="00720EB9"/>
    <w:rsid w:val="00724325"/>
    <w:rsid w:val="007375B1"/>
    <w:rsid w:val="00742533"/>
    <w:rsid w:val="00743919"/>
    <w:rsid w:val="007448A0"/>
    <w:rsid w:val="00744AE6"/>
    <w:rsid w:val="00746423"/>
    <w:rsid w:val="007510F6"/>
    <w:rsid w:val="00751A04"/>
    <w:rsid w:val="00762395"/>
    <w:rsid w:val="00765B72"/>
    <w:rsid w:val="00765FE9"/>
    <w:rsid w:val="00766355"/>
    <w:rsid w:val="00775BE8"/>
    <w:rsid w:val="007769C0"/>
    <w:rsid w:val="0077756B"/>
    <w:rsid w:val="00777DB5"/>
    <w:rsid w:val="007805F7"/>
    <w:rsid w:val="00782D73"/>
    <w:rsid w:val="007831A1"/>
    <w:rsid w:val="00783584"/>
    <w:rsid w:val="00783F26"/>
    <w:rsid w:val="00787FE7"/>
    <w:rsid w:val="007907D7"/>
    <w:rsid w:val="00792B94"/>
    <w:rsid w:val="00793533"/>
    <w:rsid w:val="00794277"/>
    <w:rsid w:val="007971DA"/>
    <w:rsid w:val="007974FA"/>
    <w:rsid w:val="007A046D"/>
    <w:rsid w:val="007A0F03"/>
    <w:rsid w:val="007A33D7"/>
    <w:rsid w:val="007A42C7"/>
    <w:rsid w:val="007A4F9C"/>
    <w:rsid w:val="007A545C"/>
    <w:rsid w:val="007A5BCC"/>
    <w:rsid w:val="007A6055"/>
    <w:rsid w:val="007A64BA"/>
    <w:rsid w:val="007A68DA"/>
    <w:rsid w:val="007B361B"/>
    <w:rsid w:val="007B3B3D"/>
    <w:rsid w:val="007B43CF"/>
    <w:rsid w:val="007B49B9"/>
    <w:rsid w:val="007C24EC"/>
    <w:rsid w:val="007D0FEA"/>
    <w:rsid w:val="007D2AD1"/>
    <w:rsid w:val="007D4328"/>
    <w:rsid w:val="007D6EFB"/>
    <w:rsid w:val="007D7DFC"/>
    <w:rsid w:val="007E0FCA"/>
    <w:rsid w:val="007E1990"/>
    <w:rsid w:val="007E1C8E"/>
    <w:rsid w:val="007E1FEC"/>
    <w:rsid w:val="007E2388"/>
    <w:rsid w:val="007E67E6"/>
    <w:rsid w:val="007E7486"/>
    <w:rsid w:val="007E7698"/>
    <w:rsid w:val="007F03CF"/>
    <w:rsid w:val="007F17EB"/>
    <w:rsid w:val="007F3763"/>
    <w:rsid w:val="007F6760"/>
    <w:rsid w:val="007F7981"/>
    <w:rsid w:val="007F7F51"/>
    <w:rsid w:val="00802C66"/>
    <w:rsid w:val="00803AD6"/>
    <w:rsid w:val="00804C73"/>
    <w:rsid w:val="00806AC1"/>
    <w:rsid w:val="00807450"/>
    <w:rsid w:val="008115BA"/>
    <w:rsid w:val="00817E9B"/>
    <w:rsid w:val="0082107F"/>
    <w:rsid w:val="008230B0"/>
    <w:rsid w:val="00824F4A"/>
    <w:rsid w:val="00825FAC"/>
    <w:rsid w:val="008321EF"/>
    <w:rsid w:val="00836FC1"/>
    <w:rsid w:val="00837247"/>
    <w:rsid w:val="00837662"/>
    <w:rsid w:val="00846BCF"/>
    <w:rsid w:val="00846FDA"/>
    <w:rsid w:val="008523BE"/>
    <w:rsid w:val="00853A1D"/>
    <w:rsid w:val="008576B5"/>
    <w:rsid w:val="00861EE0"/>
    <w:rsid w:val="008628B0"/>
    <w:rsid w:val="00865764"/>
    <w:rsid w:val="00874054"/>
    <w:rsid w:val="00874654"/>
    <w:rsid w:val="00874AFF"/>
    <w:rsid w:val="008808D9"/>
    <w:rsid w:val="00887DDB"/>
    <w:rsid w:val="0089069D"/>
    <w:rsid w:val="00893927"/>
    <w:rsid w:val="008941F3"/>
    <w:rsid w:val="008965B9"/>
    <w:rsid w:val="008A5087"/>
    <w:rsid w:val="008B008F"/>
    <w:rsid w:val="008B38F8"/>
    <w:rsid w:val="008B3C1C"/>
    <w:rsid w:val="008D340D"/>
    <w:rsid w:val="008D382C"/>
    <w:rsid w:val="008D76AF"/>
    <w:rsid w:val="008D76DC"/>
    <w:rsid w:val="008F6563"/>
    <w:rsid w:val="008F7C12"/>
    <w:rsid w:val="00901D90"/>
    <w:rsid w:val="009063FC"/>
    <w:rsid w:val="00911C0C"/>
    <w:rsid w:val="0091411B"/>
    <w:rsid w:val="009220EA"/>
    <w:rsid w:val="00922CCF"/>
    <w:rsid w:val="0092700B"/>
    <w:rsid w:val="009309A3"/>
    <w:rsid w:val="00931751"/>
    <w:rsid w:val="00935499"/>
    <w:rsid w:val="00940645"/>
    <w:rsid w:val="00947881"/>
    <w:rsid w:val="00953DF3"/>
    <w:rsid w:val="0096473F"/>
    <w:rsid w:val="0096494A"/>
    <w:rsid w:val="009749AB"/>
    <w:rsid w:val="00975503"/>
    <w:rsid w:val="009763BF"/>
    <w:rsid w:val="0097700F"/>
    <w:rsid w:val="00981237"/>
    <w:rsid w:val="00982519"/>
    <w:rsid w:val="009906E2"/>
    <w:rsid w:val="009925BC"/>
    <w:rsid w:val="0099274E"/>
    <w:rsid w:val="00992F3E"/>
    <w:rsid w:val="009938B0"/>
    <w:rsid w:val="00995E43"/>
    <w:rsid w:val="009962AD"/>
    <w:rsid w:val="009A3D36"/>
    <w:rsid w:val="009A58FD"/>
    <w:rsid w:val="009A7929"/>
    <w:rsid w:val="009B2103"/>
    <w:rsid w:val="009B4ED4"/>
    <w:rsid w:val="009C44C6"/>
    <w:rsid w:val="009C5D33"/>
    <w:rsid w:val="009C7D2D"/>
    <w:rsid w:val="009D3341"/>
    <w:rsid w:val="009D42C0"/>
    <w:rsid w:val="009D5B75"/>
    <w:rsid w:val="009E317B"/>
    <w:rsid w:val="009E4022"/>
    <w:rsid w:val="009E6557"/>
    <w:rsid w:val="009F09F9"/>
    <w:rsid w:val="009F0C7D"/>
    <w:rsid w:val="009F3D95"/>
    <w:rsid w:val="009F5B49"/>
    <w:rsid w:val="009F75D1"/>
    <w:rsid w:val="009F7F8E"/>
    <w:rsid w:val="00A078CF"/>
    <w:rsid w:val="00A11168"/>
    <w:rsid w:val="00A12252"/>
    <w:rsid w:val="00A13666"/>
    <w:rsid w:val="00A1612B"/>
    <w:rsid w:val="00A1691A"/>
    <w:rsid w:val="00A20565"/>
    <w:rsid w:val="00A223DC"/>
    <w:rsid w:val="00A22804"/>
    <w:rsid w:val="00A23448"/>
    <w:rsid w:val="00A24936"/>
    <w:rsid w:val="00A25AC6"/>
    <w:rsid w:val="00A263F9"/>
    <w:rsid w:val="00A3089F"/>
    <w:rsid w:val="00A31687"/>
    <w:rsid w:val="00A33704"/>
    <w:rsid w:val="00A34666"/>
    <w:rsid w:val="00A37B79"/>
    <w:rsid w:val="00A42120"/>
    <w:rsid w:val="00A46C77"/>
    <w:rsid w:val="00A5228A"/>
    <w:rsid w:val="00A5396F"/>
    <w:rsid w:val="00A53CF6"/>
    <w:rsid w:val="00A616B6"/>
    <w:rsid w:val="00A64868"/>
    <w:rsid w:val="00A674FB"/>
    <w:rsid w:val="00A674FD"/>
    <w:rsid w:val="00A72948"/>
    <w:rsid w:val="00A73065"/>
    <w:rsid w:val="00A7312F"/>
    <w:rsid w:val="00A7698F"/>
    <w:rsid w:val="00A81A87"/>
    <w:rsid w:val="00A827E2"/>
    <w:rsid w:val="00A829AA"/>
    <w:rsid w:val="00A83B41"/>
    <w:rsid w:val="00A91E17"/>
    <w:rsid w:val="00AA1E18"/>
    <w:rsid w:val="00AA5720"/>
    <w:rsid w:val="00AA5D4E"/>
    <w:rsid w:val="00AA6704"/>
    <w:rsid w:val="00AB77AB"/>
    <w:rsid w:val="00AC198F"/>
    <w:rsid w:val="00AC2DCE"/>
    <w:rsid w:val="00AC33B0"/>
    <w:rsid w:val="00AC763E"/>
    <w:rsid w:val="00AD0D2C"/>
    <w:rsid w:val="00AD22BC"/>
    <w:rsid w:val="00AD25FB"/>
    <w:rsid w:val="00AD33D0"/>
    <w:rsid w:val="00AD57CA"/>
    <w:rsid w:val="00AD5A95"/>
    <w:rsid w:val="00AE2A5A"/>
    <w:rsid w:val="00AF05CF"/>
    <w:rsid w:val="00AF200F"/>
    <w:rsid w:val="00AF5CB7"/>
    <w:rsid w:val="00B00898"/>
    <w:rsid w:val="00B0133B"/>
    <w:rsid w:val="00B06606"/>
    <w:rsid w:val="00B10468"/>
    <w:rsid w:val="00B10FE0"/>
    <w:rsid w:val="00B12456"/>
    <w:rsid w:val="00B132CA"/>
    <w:rsid w:val="00B2776A"/>
    <w:rsid w:val="00B30BF5"/>
    <w:rsid w:val="00B318DB"/>
    <w:rsid w:val="00B34175"/>
    <w:rsid w:val="00B35B2E"/>
    <w:rsid w:val="00B36543"/>
    <w:rsid w:val="00B4088D"/>
    <w:rsid w:val="00B4299A"/>
    <w:rsid w:val="00B477B1"/>
    <w:rsid w:val="00B5000C"/>
    <w:rsid w:val="00B5098E"/>
    <w:rsid w:val="00B513FE"/>
    <w:rsid w:val="00B566C7"/>
    <w:rsid w:val="00B5785C"/>
    <w:rsid w:val="00B57A15"/>
    <w:rsid w:val="00B611BB"/>
    <w:rsid w:val="00B647DB"/>
    <w:rsid w:val="00B70F57"/>
    <w:rsid w:val="00B73DD8"/>
    <w:rsid w:val="00B7718C"/>
    <w:rsid w:val="00B81305"/>
    <w:rsid w:val="00B81A2F"/>
    <w:rsid w:val="00B8201D"/>
    <w:rsid w:val="00B834FD"/>
    <w:rsid w:val="00B84946"/>
    <w:rsid w:val="00B85449"/>
    <w:rsid w:val="00B92CF4"/>
    <w:rsid w:val="00B92E9E"/>
    <w:rsid w:val="00B95055"/>
    <w:rsid w:val="00BA1A71"/>
    <w:rsid w:val="00BA200F"/>
    <w:rsid w:val="00BA44EB"/>
    <w:rsid w:val="00BA4E6F"/>
    <w:rsid w:val="00BB34E4"/>
    <w:rsid w:val="00BC1D94"/>
    <w:rsid w:val="00BC21DA"/>
    <w:rsid w:val="00BC33B5"/>
    <w:rsid w:val="00BC61E3"/>
    <w:rsid w:val="00BC6526"/>
    <w:rsid w:val="00BD0165"/>
    <w:rsid w:val="00BD2792"/>
    <w:rsid w:val="00BE1D29"/>
    <w:rsid w:val="00BE3316"/>
    <w:rsid w:val="00BE3362"/>
    <w:rsid w:val="00BE50AC"/>
    <w:rsid w:val="00BE57B1"/>
    <w:rsid w:val="00BF7B30"/>
    <w:rsid w:val="00C00E09"/>
    <w:rsid w:val="00C01767"/>
    <w:rsid w:val="00C031DC"/>
    <w:rsid w:val="00C072DC"/>
    <w:rsid w:val="00C07A19"/>
    <w:rsid w:val="00C102D6"/>
    <w:rsid w:val="00C10FFD"/>
    <w:rsid w:val="00C13DBD"/>
    <w:rsid w:val="00C15A49"/>
    <w:rsid w:val="00C17948"/>
    <w:rsid w:val="00C225C7"/>
    <w:rsid w:val="00C22DD4"/>
    <w:rsid w:val="00C237FF"/>
    <w:rsid w:val="00C25A36"/>
    <w:rsid w:val="00C27C6D"/>
    <w:rsid w:val="00C32486"/>
    <w:rsid w:val="00C32DB7"/>
    <w:rsid w:val="00C34CCA"/>
    <w:rsid w:val="00C362CA"/>
    <w:rsid w:val="00C37263"/>
    <w:rsid w:val="00C416FF"/>
    <w:rsid w:val="00C43B8A"/>
    <w:rsid w:val="00C505D1"/>
    <w:rsid w:val="00C531D0"/>
    <w:rsid w:val="00C5798A"/>
    <w:rsid w:val="00C6046B"/>
    <w:rsid w:val="00C60D18"/>
    <w:rsid w:val="00C64766"/>
    <w:rsid w:val="00C658F1"/>
    <w:rsid w:val="00C70F7D"/>
    <w:rsid w:val="00C7202C"/>
    <w:rsid w:val="00C7253D"/>
    <w:rsid w:val="00C76594"/>
    <w:rsid w:val="00C776BB"/>
    <w:rsid w:val="00C80129"/>
    <w:rsid w:val="00C81A9D"/>
    <w:rsid w:val="00C81DE7"/>
    <w:rsid w:val="00C87638"/>
    <w:rsid w:val="00C93801"/>
    <w:rsid w:val="00CA038A"/>
    <w:rsid w:val="00CA33DB"/>
    <w:rsid w:val="00CA3EEB"/>
    <w:rsid w:val="00CA57E8"/>
    <w:rsid w:val="00CA72C9"/>
    <w:rsid w:val="00CB2B4A"/>
    <w:rsid w:val="00CB6CD9"/>
    <w:rsid w:val="00CB7216"/>
    <w:rsid w:val="00CB7406"/>
    <w:rsid w:val="00CC6197"/>
    <w:rsid w:val="00CD1081"/>
    <w:rsid w:val="00CD29AC"/>
    <w:rsid w:val="00CD5689"/>
    <w:rsid w:val="00CE0012"/>
    <w:rsid w:val="00CE1E1E"/>
    <w:rsid w:val="00CE5686"/>
    <w:rsid w:val="00CE67D0"/>
    <w:rsid w:val="00CE6844"/>
    <w:rsid w:val="00CE70CF"/>
    <w:rsid w:val="00CF112A"/>
    <w:rsid w:val="00CF2B31"/>
    <w:rsid w:val="00CF2B91"/>
    <w:rsid w:val="00D002FA"/>
    <w:rsid w:val="00D010B9"/>
    <w:rsid w:val="00D0242B"/>
    <w:rsid w:val="00D0714F"/>
    <w:rsid w:val="00D07391"/>
    <w:rsid w:val="00D07D81"/>
    <w:rsid w:val="00D118DA"/>
    <w:rsid w:val="00D13E93"/>
    <w:rsid w:val="00D14FD5"/>
    <w:rsid w:val="00D1565B"/>
    <w:rsid w:val="00D17D69"/>
    <w:rsid w:val="00D17E65"/>
    <w:rsid w:val="00D217E7"/>
    <w:rsid w:val="00D226AA"/>
    <w:rsid w:val="00D22AE2"/>
    <w:rsid w:val="00D241EF"/>
    <w:rsid w:val="00D2439D"/>
    <w:rsid w:val="00D25008"/>
    <w:rsid w:val="00D27FB6"/>
    <w:rsid w:val="00D31345"/>
    <w:rsid w:val="00D31E72"/>
    <w:rsid w:val="00D34568"/>
    <w:rsid w:val="00D363D2"/>
    <w:rsid w:val="00D365C1"/>
    <w:rsid w:val="00D406DC"/>
    <w:rsid w:val="00D40BFC"/>
    <w:rsid w:val="00D45532"/>
    <w:rsid w:val="00D45CC0"/>
    <w:rsid w:val="00D46219"/>
    <w:rsid w:val="00D47E15"/>
    <w:rsid w:val="00D61197"/>
    <w:rsid w:val="00D62266"/>
    <w:rsid w:val="00D63344"/>
    <w:rsid w:val="00D63A03"/>
    <w:rsid w:val="00D64FC6"/>
    <w:rsid w:val="00D65615"/>
    <w:rsid w:val="00D72C9D"/>
    <w:rsid w:val="00D760AB"/>
    <w:rsid w:val="00D7680C"/>
    <w:rsid w:val="00D81886"/>
    <w:rsid w:val="00D82449"/>
    <w:rsid w:val="00D85028"/>
    <w:rsid w:val="00D86FE4"/>
    <w:rsid w:val="00D90CDD"/>
    <w:rsid w:val="00D9100F"/>
    <w:rsid w:val="00D91CE2"/>
    <w:rsid w:val="00D94972"/>
    <w:rsid w:val="00DA10E6"/>
    <w:rsid w:val="00DA3170"/>
    <w:rsid w:val="00DA3D79"/>
    <w:rsid w:val="00DB0471"/>
    <w:rsid w:val="00DB0F6D"/>
    <w:rsid w:val="00DB1E78"/>
    <w:rsid w:val="00DB30E6"/>
    <w:rsid w:val="00DB40AB"/>
    <w:rsid w:val="00DB5620"/>
    <w:rsid w:val="00DB6F5C"/>
    <w:rsid w:val="00DB798A"/>
    <w:rsid w:val="00DC03D9"/>
    <w:rsid w:val="00DC69C6"/>
    <w:rsid w:val="00DD1FF6"/>
    <w:rsid w:val="00DD2B33"/>
    <w:rsid w:val="00DD3DEF"/>
    <w:rsid w:val="00DD58ED"/>
    <w:rsid w:val="00DD6098"/>
    <w:rsid w:val="00DE0906"/>
    <w:rsid w:val="00DE1047"/>
    <w:rsid w:val="00DE144E"/>
    <w:rsid w:val="00DE28E8"/>
    <w:rsid w:val="00DE3517"/>
    <w:rsid w:val="00DF1578"/>
    <w:rsid w:val="00DF2D8D"/>
    <w:rsid w:val="00DF482B"/>
    <w:rsid w:val="00DF7403"/>
    <w:rsid w:val="00DF75CE"/>
    <w:rsid w:val="00DF7F34"/>
    <w:rsid w:val="00E047AA"/>
    <w:rsid w:val="00E06F0D"/>
    <w:rsid w:val="00E0738D"/>
    <w:rsid w:val="00E0787A"/>
    <w:rsid w:val="00E13D3A"/>
    <w:rsid w:val="00E1435E"/>
    <w:rsid w:val="00E14AE6"/>
    <w:rsid w:val="00E15C35"/>
    <w:rsid w:val="00E175AF"/>
    <w:rsid w:val="00E205CD"/>
    <w:rsid w:val="00E2092F"/>
    <w:rsid w:val="00E305E4"/>
    <w:rsid w:val="00E4191E"/>
    <w:rsid w:val="00E41A2E"/>
    <w:rsid w:val="00E43552"/>
    <w:rsid w:val="00E453A1"/>
    <w:rsid w:val="00E4595A"/>
    <w:rsid w:val="00E470CF"/>
    <w:rsid w:val="00E474F9"/>
    <w:rsid w:val="00E47C88"/>
    <w:rsid w:val="00E50E54"/>
    <w:rsid w:val="00E51D70"/>
    <w:rsid w:val="00E52FCC"/>
    <w:rsid w:val="00E545E9"/>
    <w:rsid w:val="00E55916"/>
    <w:rsid w:val="00E55970"/>
    <w:rsid w:val="00E57FC9"/>
    <w:rsid w:val="00E672CA"/>
    <w:rsid w:val="00E70C73"/>
    <w:rsid w:val="00E7455F"/>
    <w:rsid w:val="00E821E2"/>
    <w:rsid w:val="00E86DD7"/>
    <w:rsid w:val="00E928AC"/>
    <w:rsid w:val="00E974C1"/>
    <w:rsid w:val="00EA0F8C"/>
    <w:rsid w:val="00EA213F"/>
    <w:rsid w:val="00EA4357"/>
    <w:rsid w:val="00EA4A12"/>
    <w:rsid w:val="00EB3856"/>
    <w:rsid w:val="00EB52A1"/>
    <w:rsid w:val="00EB64F3"/>
    <w:rsid w:val="00EC0C17"/>
    <w:rsid w:val="00EC16A4"/>
    <w:rsid w:val="00EC1A86"/>
    <w:rsid w:val="00EC5358"/>
    <w:rsid w:val="00ED5A82"/>
    <w:rsid w:val="00ED5F0C"/>
    <w:rsid w:val="00EE23A1"/>
    <w:rsid w:val="00EE3AA4"/>
    <w:rsid w:val="00EE3ED0"/>
    <w:rsid w:val="00EE4EB4"/>
    <w:rsid w:val="00EE5680"/>
    <w:rsid w:val="00EE6655"/>
    <w:rsid w:val="00EE6CAA"/>
    <w:rsid w:val="00EF22B6"/>
    <w:rsid w:val="00EF3E8D"/>
    <w:rsid w:val="00EF49BB"/>
    <w:rsid w:val="00EF7836"/>
    <w:rsid w:val="00F0483C"/>
    <w:rsid w:val="00F07F88"/>
    <w:rsid w:val="00F127A9"/>
    <w:rsid w:val="00F12854"/>
    <w:rsid w:val="00F2059B"/>
    <w:rsid w:val="00F32832"/>
    <w:rsid w:val="00F32F69"/>
    <w:rsid w:val="00F37A88"/>
    <w:rsid w:val="00F42254"/>
    <w:rsid w:val="00F520B1"/>
    <w:rsid w:val="00F526A3"/>
    <w:rsid w:val="00F533F1"/>
    <w:rsid w:val="00F537B3"/>
    <w:rsid w:val="00F54136"/>
    <w:rsid w:val="00F5435F"/>
    <w:rsid w:val="00F54B59"/>
    <w:rsid w:val="00F57AAF"/>
    <w:rsid w:val="00F629C8"/>
    <w:rsid w:val="00F64BFC"/>
    <w:rsid w:val="00F64DAE"/>
    <w:rsid w:val="00F677C4"/>
    <w:rsid w:val="00F701A8"/>
    <w:rsid w:val="00F70B25"/>
    <w:rsid w:val="00F7179C"/>
    <w:rsid w:val="00F73DC2"/>
    <w:rsid w:val="00F7656F"/>
    <w:rsid w:val="00F81AF5"/>
    <w:rsid w:val="00F827CF"/>
    <w:rsid w:val="00F84611"/>
    <w:rsid w:val="00F84EC2"/>
    <w:rsid w:val="00F858DC"/>
    <w:rsid w:val="00F9090B"/>
    <w:rsid w:val="00F914B3"/>
    <w:rsid w:val="00F9188B"/>
    <w:rsid w:val="00F93775"/>
    <w:rsid w:val="00F94664"/>
    <w:rsid w:val="00F946D3"/>
    <w:rsid w:val="00FA0A88"/>
    <w:rsid w:val="00FA2251"/>
    <w:rsid w:val="00FA3AE5"/>
    <w:rsid w:val="00FA72AB"/>
    <w:rsid w:val="00FB1642"/>
    <w:rsid w:val="00FB27B4"/>
    <w:rsid w:val="00FB5EB3"/>
    <w:rsid w:val="00FC02B1"/>
    <w:rsid w:val="00FC219C"/>
    <w:rsid w:val="00FD30A9"/>
    <w:rsid w:val="00FD3F4E"/>
    <w:rsid w:val="00FD45DD"/>
    <w:rsid w:val="00FD7281"/>
    <w:rsid w:val="00FE489C"/>
    <w:rsid w:val="00FE4B97"/>
    <w:rsid w:val="00FE78E2"/>
    <w:rsid w:val="00FF6009"/>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9D321"/>
  <w15:chartTrackingRefBased/>
  <w15:docId w15:val="{70B87BA7-EEEB-4387-9737-C3CCC7D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basedOn w:val="DefaultParagraphFont"/>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basedOn w:val="DefaultParagraphFont"/>
    <w:qFormat/>
    <w:rsid w:val="00365C25"/>
    <w:rPr>
      <w:b/>
      <w:bCs/>
    </w:rPr>
  </w:style>
  <w:style w:type="character" w:styleId="Hyperlink">
    <w:name w:val="Hyperlink"/>
    <w:basedOn w:val="DefaultParagraphFont"/>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styleId="ListParagraph">
    <w:name w:val="List Paragraph"/>
    <w:basedOn w:val="Normal"/>
    <w:uiPriority w:val="34"/>
    <w:qFormat/>
    <w:rsid w:val="00B84946"/>
    <w:pPr>
      <w:ind w:left="720"/>
      <w:contextualSpacing/>
    </w:pPr>
  </w:style>
  <w:style w:type="paragraph" w:customStyle="1" w:styleId="Default">
    <w:name w:val="Default"/>
    <w:rsid w:val="0099274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2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7686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867500">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provgovpart/pharmacy/Documents/SPA_17-002_Public_Noti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hcs.ca.gov/formsandpubs/laws/Documents/17-002ApvO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545C-BDF1-4696-8B0E-EE5722BC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25</Pages>
  <Words>4009</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Schauer, Jackie@DIR</cp:lastModifiedBy>
  <cp:revision>158</cp:revision>
  <cp:lastPrinted>2005-05-13T18:46:00Z</cp:lastPrinted>
  <dcterms:created xsi:type="dcterms:W3CDTF">2024-07-03T18:18:00Z</dcterms:created>
  <dcterms:modified xsi:type="dcterms:W3CDTF">2024-10-29T05:51:00Z</dcterms:modified>
</cp:coreProperties>
</file>

<file path=docProps/custom.xml><?xml version="1.0" encoding="utf-8"?>
<Properties xmlns="http://schemas.openxmlformats.org/officeDocument/2006/custom-properties" xmlns:vt="http://schemas.openxmlformats.org/officeDocument/2006/docPropsVTypes"/>
</file>