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960"/>
        <w:gridCol w:w="2340"/>
        <w:gridCol w:w="3240"/>
        <w:gridCol w:w="2325"/>
      </w:tblGrid>
      <w:tr w:rsidR="00110CBA" w14:paraId="2AFBF313" w14:textId="77777777" w:rsidTr="00807B4F">
        <w:tblPrEx>
          <w:tblCellMar>
            <w:top w:w="0" w:type="dxa"/>
            <w:bottom w:w="0" w:type="dxa"/>
          </w:tblCellMar>
        </w:tblPrEx>
        <w:trPr>
          <w:trHeight w:val="100"/>
        </w:trPr>
        <w:tc>
          <w:tcPr>
            <w:tcW w:w="2088" w:type="dxa"/>
          </w:tcPr>
          <w:p w14:paraId="0637573C" w14:textId="77777777" w:rsidR="00110CBA" w:rsidRPr="00110CBA" w:rsidRDefault="00110CBA" w:rsidP="00807B4F">
            <w:pPr>
              <w:rPr>
                <w:rFonts w:ascii="Arial" w:hAnsi="Arial" w:cs="Arial"/>
                <w:b/>
                <w:sz w:val="24"/>
                <w:szCs w:val="24"/>
              </w:rPr>
            </w:pPr>
            <w:r w:rsidRPr="00110CBA">
              <w:rPr>
                <w:rFonts w:ascii="Arial" w:hAnsi="Arial" w:cs="Arial"/>
                <w:b/>
                <w:sz w:val="24"/>
                <w:szCs w:val="24"/>
              </w:rPr>
              <w:t xml:space="preserve">EVIDENCE-BASED UPDATES TO THE MEDICAL TREATMENT SCHECULE (MTUS) </w:t>
            </w:r>
          </w:p>
        </w:tc>
        <w:tc>
          <w:tcPr>
            <w:tcW w:w="3960" w:type="dxa"/>
          </w:tcPr>
          <w:p w14:paraId="141A5F15" w14:textId="77777777" w:rsidR="00110CBA" w:rsidRPr="00110CBA" w:rsidRDefault="00110CBA" w:rsidP="00807B4F">
            <w:pPr>
              <w:jc w:val="center"/>
              <w:rPr>
                <w:rFonts w:ascii="Arial" w:hAnsi="Arial" w:cs="Arial"/>
                <w:b/>
                <w:sz w:val="24"/>
                <w:szCs w:val="24"/>
              </w:rPr>
            </w:pPr>
            <w:r w:rsidRPr="00110CBA">
              <w:rPr>
                <w:rFonts w:ascii="Arial" w:hAnsi="Arial" w:cs="Arial"/>
                <w:b/>
                <w:sz w:val="24"/>
                <w:szCs w:val="24"/>
              </w:rPr>
              <w:t>RULEMAKING COMMENTS</w:t>
            </w:r>
          </w:p>
          <w:p w14:paraId="52BE6AA4" w14:textId="77777777" w:rsidR="00110CBA" w:rsidRDefault="00110CBA" w:rsidP="00807B4F">
            <w:pPr>
              <w:jc w:val="center"/>
              <w:rPr>
                <w:rFonts w:ascii="Arial" w:hAnsi="Arial" w:cs="Arial"/>
                <w:b/>
                <w:sz w:val="24"/>
                <w:szCs w:val="24"/>
              </w:rPr>
            </w:pPr>
            <w:r w:rsidRPr="00110CBA">
              <w:rPr>
                <w:rFonts w:ascii="Arial" w:hAnsi="Arial" w:cs="Arial"/>
                <w:b/>
                <w:sz w:val="24"/>
                <w:szCs w:val="24"/>
              </w:rPr>
              <w:t>30 DAY COMMENT PERIOD</w:t>
            </w:r>
          </w:p>
          <w:p w14:paraId="6E0DF064" w14:textId="77777777" w:rsidR="00110CBA" w:rsidRPr="00110CBA" w:rsidRDefault="00110CBA" w:rsidP="00807B4F">
            <w:pPr>
              <w:jc w:val="center"/>
              <w:rPr>
                <w:rFonts w:ascii="Arial" w:hAnsi="Arial" w:cs="Arial"/>
                <w:b/>
                <w:sz w:val="24"/>
                <w:szCs w:val="24"/>
              </w:rPr>
            </w:pPr>
            <w:r>
              <w:rPr>
                <w:rFonts w:ascii="Arial" w:hAnsi="Arial" w:cs="Arial"/>
                <w:b/>
                <w:sz w:val="24"/>
                <w:szCs w:val="24"/>
              </w:rPr>
              <w:t>PROPOSED OPIOID UPDATE</w:t>
            </w:r>
          </w:p>
        </w:tc>
        <w:tc>
          <w:tcPr>
            <w:tcW w:w="2340" w:type="dxa"/>
          </w:tcPr>
          <w:p w14:paraId="27CC0BDD" w14:textId="77777777" w:rsidR="00110CBA" w:rsidRPr="00110CBA" w:rsidRDefault="00110CBA" w:rsidP="00807B4F">
            <w:pPr>
              <w:jc w:val="center"/>
              <w:rPr>
                <w:rFonts w:ascii="Arial" w:hAnsi="Arial" w:cs="Arial"/>
                <w:b/>
                <w:sz w:val="24"/>
                <w:szCs w:val="24"/>
              </w:rPr>
            </w:pPr>
            <w:r w:rsidRPr="00110CBA">
              <w:rPr>
                <w:rFonts w:ascii="Arial" w:hAnsi="Arial" w:cs="Arial"/>
                <w:b/>
                <w:sz w:val="24"/>
                <w:szCs w:val="24"/>
              </w:rPr>
              <w:t>NAME OF PERSON/ AFFILIATION</w:t>
            </w:r>
          </w:p>
          <w:p w14:paraId="59EFE78A" w14:textId="77777777" w:rsidR="00110CBA" w:rsidRPr="00110CBA" w:rsidRDefault="00110CBA" w:rsidP="00807B4F">
            <w:pPr>
              <w:rPr>
                <w:rFonts w:ascii="Arial" w:hAnsi="Arial" w:cs="Arial"/>
                <w:b/>
                <w:sz w:val="24"/>
                <w:szCs w:val="24"/>
              </w:rPr>
            </w:pPr>
          </w:p>
        </w:tc>
        <w:tc>
          <w:tcPr>
            <w:tcW w:w="3240" w:type="dxa"/>
          </w:tcPr>
          <w:p w14:paraId="63927332" w14:textId="77777777" w:rsidR="00110CBA" w:rsidRPr="00110CBA" w:rsidRDefault="00110CBA" w:rsidP="00807B4F">
            <w:pPr>
              <w:jc w:val="center"/>
              <w:rPr>
                <w:rFonts w:ascii="Arial" w:hAnsi="Arial" w:cs="Arial"/>
                <w:b/>
                <w:sz w:val="24"/>
                <w:szCs w:val="24"/>
              </w:rPr>
            </w:pPr>
            <w:r w:rsidRPr="00110CBA">
              <w:rPr>
                <w:rFonts w:ascii="Arial" w:hAnsi="Arial" w:cs="Arial"/>
                <w:b/>
                <w:sz w:val="24"/>
                <w:szCs w:val="24"/>
              </w:rPr>
              <w:t>RESPONSE</w:t>
            </w:r>
          </w:p>
        </w:tc>
        <w:tc>
          <w:tcPr>
            <w:tcW w:w="2325" w:type="dxa"/>
          </w:tcPr>
          <w:p w14:paraId="045A2BBF" w14:textId="77777777" w:rsidR="00110CBA" w:rsidRPr="00110CBA" w:rsidRDefault="00110CBA" w:rsidP="00807B4F">
            <w:pPr>
              <w:jc w:val="center"/>
              <w:rPr>
                <w:rFonts w:ascii="Arial" w:hAnsi="Arial" w:cs="Arial"/>
                <w:b/>
                <w:sz w:val="24"/>
                <w:szCs w:val="24"/>
              </w:rPr>
            </w:pPr>
            <w:r w:rsidRPr="00110CBA">
              <w:rPr>
                <w:rFonts w:ascii="Arial" w:hAnsi="Arial" w:cs="Arial"/>
                <w:b/>
                <w:sz w:val="24"/>
                <w:szCs w:val="24"/>
              </w:rPr>
              <w:t>ACTION</w:t>
            </w:r>
          </w:p>
          <w:p w14:paraId="124CE50E" w14:textId="77777777" w:rsidR="00110CBA" w:rsidRPr="00110CBA" w:rsidRDefault="00110CBA" w:rsidP="00807B4F">
            <w:pPr>
              <w:rPr>
                <w:rFonts w:ascii="Arial" w:hAnsi="Arial" w:cs="Arial"/>
                <w:b/>
                <w:sz w:val="24"/>
                <w:szCs w:val="24"/>
              </w:rPr>
            </w:pPr>
          </w:p>
        </w:tc>
      </w:tr>
      <w:tr w:rsidR="005E1385" w:rsidRPr="00D27986" w14:paraId="0C206851" w14:textId="77777777">
        <w:tblPrEx>
          <w:tblCellMar>
            <w:top w:w="0" w:type="dxa"/>
            <w:bottom w:w="0" w:type="dxa"/>
          </w:tblCellMar>
        </w:tblPrEx>
        <w:trPr>
          <w:trHeight w:val="100"/>
        </w:trPr>
        <w:tc>
          <w:tcPr>
            <w:tcW w:w="2088" w:type="dxa"/>
          </w:tcPr>
          <w:p w14:paraId="1EA8E118" w14:textId="77777777" w:rsidR="005E1385" w:rsidRPr="00110CBA" w:rsidRDefault="00B07813" w:rsidP="00B07813">
            <w:pPr>
              <w:tabs>
                <w:tab w:val="center" w:pos="936"/>
              </w:tabs>
              <w:rPr>
                <w:rFonts w:ascii="Arial" w:hAnsi="Arial" w:cs="Arial"/>
                <w:sz w:val="24"/>
                <w:szCs w:val="24"/>
              </w:rPr>
            </w:pPr>
            <w:r w:rsidRPr="00110CBA">
              <w:rPr>
                <w:rFonts w:ascii="Arial" w:hAnsi="Arial" w:cs="Arial"/>
                <w:sz w:val="24"/>
                <w:szCs w:val="24"/>
              </w:rPr>
              <w:t>General comment</w:t>
            </w:r>
          </w:p>
        </w:tc>
        <w:tc>
          <w:tcPr>
            <w:tcW w:w="3960" w:type="dxa"/>
          </w:tcPr>
          <w:p w14:paraId="4FD00A3E" w14:textId="77777777" w:rsidR="009749AB" w:rsidRPr="00110CBA" w:rsidRDefault="000E4D5F" w:rsidP="009749AB">
            <w:pPr>
              <w:rPr>
                <w:rFonts w:ascii="Arial" w:hAnsi="Arial" w:cs="Arial"/>
                <w:sz w:val="24"/>
                <w:szCs w:val="24"/>
              </w:rPr>
            </w:pPr>
            <w:r w:rsidRPr="00110CBA">
              <w:rPr>
                <w:rFonts w:ascii="Arial" w:hAnsi="Arial" w:cs="Arial"/>
                <w:sz w:val="24"/>
                <w:szCs w:val="24"/>
              </w:rPr>
              <w:t xml:space="preserve">Commenter has reviewed the proposed updates and has no comment </w:t>
            </w:r>
            <w:proofErr w:type="gramStart"/>
            <w:r w:rsidRPr="00110CBA">
              <w:rPr>
                <w:rFonts w:ascii="Arial" w:hAnsi="Arial" w:cs="Arial"/>
                <w:sz w:val="24"/>
                <w:szCs w:val="24"/>
              </w:rPr>
              <w:t>at this time</w:t>
            </w:r>
            <w:proofErr w:type="gramEnd"/>
            <w:r w:rsidRPr="00110CBA">
              <w:rPr>
                <w:rFonts w:ascii="Arial" w:hAnsi="Arial" w:cs="Arial"/>
                <w:sz w:val="24"/>
                <w:szCs w:val="24"/>
              </w:rPr>
              <w:t>.</w:t>
            </w:r>
          </w:p>
        </w:tc>
        <w:tc>
          <w:tcPr>
            <w:tcW w:w="2340" w:type="dxa"/>
          </w:tcPr>
          <w:p w14:paraId="7B25D306" w14:textId="77777777" w:rsidR="000E4D5F" w:rsidRPr="00110CBA" w:rsidRDefault="00AC1F86" w:rsidP="00B318DB">
            <w:pPr>
              <w:rPr>
                <w:rFonts w:ascii="Arial" w:hAnsi="Arial" w:cs="Arial"/>
                <w:sz w:val="24"/>
                <w:szCs w:val="24"/>
              </w:rPr>
            </w:pPr>
            <w:r w:rsidRPr="00110CBA">
              <w:rPr>
                <w:rFonts w:ascii="Arial" w:hAnsi="Arial" w:cs="Arial"/>
                <w:sz w:val="24"/>
                <w:szCs w:val="24"/>
              </w:rPr>
              <w:t>Andrea Guzman</w:t>
            </w:r>
          </w:p>
          <w:p w14:paraId="751D7999" w14:textId="77777777" w:rsidR="00AC1F86" w:rsidRPr="00110CBA" w:rsidRDefault="00AC1F86" w:rsidP="00B318DB">
            <w:pPr>
              <w:rPr>
                <w:rFonts w:ascii="Arial" w:hAnsi="Arial" w:cs="Arial"/>
                <w:sz w:val="24"/>
                <w:szCs w:val="24"/>
              </w:rPr>
            </w:pPr>
            <w:r w:rsidRPr="00110CBA">
              <w:rPr>
                <w:rFonts w:ascii="Arial" w:hAnsi="Arial" w:cs="Arial"/>
                <w:sz w:val="24"/>
                <w:szCs w:val="24"/>
              </w:rPr>
              <w:t>Claims Regulatory Director</w:t>
            </w:r>
          </w:p>
          <w:p w14:paraId="06CEDC7F" w14:textId="77777777" w:rsidR="000E4D5F" w:rsidRPr="00110CBA" w:rsidRDefault="000E4D5F" w:rsidP="00B318DB">
            <w:pPr>
              <w:rPr>
                <w:rFonts w:ascii="Arial" w:hAnsi="Arial" w:cs="Arial"/>
                <w:sz w:val="24"/>
                <w:szCs w:val="24"/>
              </w:rPr>
            </w:pPr>
            <w:r w:rsidRPr="00110CBA">
              <w:rPr>
                <w:rFonts w:ascii="Arial" w:hAnsi="Arial" w:cs="Arial"/>
                <w:sz w:val="24"/>
                <w:szCs w:val="24"/>
              </w:rPr>
              <w:t>State Compensation Insurance Fund</w:t>
            </w:r>
          </w:p>
          <w:p w14:paraId="48ED95A1" w14:textId="77777777" w:rsidR="000E4D5F" w:rsidRPr="00110CBA" w:rsidRDefault="00110CBA" w:rsidP="00B318DB">
            <w:pPr>
              <w:rPr>
                <w:rFonts w:ascii="Arial" w:hAnsi="Arial" w:cs="Arial"/>
                <w:sz w:val="24"/>
                <w:szCs w:val="24"/>
              </w:rPr>
            </w:pPr>
            <w:r w:rsidRPr="00110CBA">
              <w:rPr>
                <w:rFonts w:ascii="Arial" w:hAnsi="Arial" w:cs="Arial"/>
                <w:sz w:val="24"/>
                <w:szCs w:val="24"/>
              </w:rPr>
              <w:t>January 25, 2024</w:t>
            </w:r>
          </w:p>
          <w:p w14:paraId="5D9222BE" w14:textId="77777777" w:rsidR="000E4D5F" w:rsidRPr="00110CBA" w:rsidRDefault="000E4D5F" w:rsidP="00B318DB">
            <w:pPr>
              <w:rPr>
                <w:rFonts w:ascii="Arial" w:hAnsi="Arial" w:cs="Arial"/>
                <w:sz w:val="24"/>
                <w:szCs w:val="24"/>
              </w:rPr>
            </w:pPr>
            <w:r w:rsidRPr="00110CBA">
              <w:rPr>
                <w:rFonts w:ascii="Arial" w:hAnsi="Arial" w:cs="Arial"/>
                <w:sz w:val="24"/>
                <w:szCs w:val="24"/>
              </w:rPr>
              <w:t>Written Comment</w:t>
            </w:r>
          </w:p>
        </w:tc>
        <w:tc>
          <w:tcPr>
            <w:tcW w:w="3240" w:type="dxa"/>
          </w:tcPr>
          <w:p w14:paraId="4A4BCA62" w14:textId="77777777" w:rsidR="005E1385" w:rsidRPr="00110CBA" w:rsidRDefault="00E04CF9" w:rsidP="00B318DB">
            <w:pPr>
              <w:rPr>
                <w:rFonts w:ascii="Arial" w:hAnsi="Arial" w:cs="Arial"/>
                <w:sz w:val="24"/>
                <w:szCs w:val="24"/>
              </w:rPr>
            </w:pPr>
            <w:r w:rsidRPr="00110CBA">
              <w:rPr>
                <w:rFonts w:ascii="Arial" w:hAnsi="Arial" w:cs="Arial"/>
                <w:sz w:val="24"/>
                <w:szCs w:val="24"/>
              </w:rPr>
              <w:t>Agree.</w:t>
            </w:r>
          </w:p>
        </w:tc>
        <w:tc>
          <w:tcPr>
            <w:tcW w:w="2325" w:type="dxa"/>
          </w:tcPr>
          <w:p w14:paraId="589FF900" w14:textId="77777777" w:rsidR="005E1385" w:rsidRPr="00D27986" w:rsidRDefault="00E04CF9" w:rsidP="00B318DB">
            <w:pPr>
              <w:rPr>
                <w:sz w:val="24"/>
                <w:szCs w:val="24"/>
              </w:rPr>
            </w:pPr>
            <w:r>
              <w:rPr>
                <w:sz w:val="24"/>
                <w:szCs w:val="24"/>
              </w:rPr>
              <w:t>None.</w:t>
            </w:r>
          </w:p>
        </w:tc>
      </w:tr>
      <w:tr w:rsidR="005E1385" w:rsidRPr="00D27986" w14:paraId="15AF3EB0" w14:textId="77777777">
        <w:tblPrEx>
          <w:tblCellMar>
            <w:top w:w="0" w:type="dxa"/>
            <w:bottom w:w="0" w:type="dxa"/>
          </w:tblCellMar>
        </w:tblPrEx>
        <w:trPr>
          <w:trHeight w:val="100"/>
        </w:trPr>
        <w:tc>
          <w:tcPr>
            <w:tcW w:w="2088" w:type="dxa"/>
          </w:tcPr>
          <w:p w14:paraId="524EB3CE" w14:textId="77777777" w:rsidR="005E1385" w:rsidRPr="00110CBA" w:rsidRDefault="000E4D5F" w:rsidP="00B318DB">
            <w:pPr>
              <w:rPr>
                <w:rFonts w:ascii="Arial" w:hAnsi="Arial" w:cs="Arial"/>
                <w:sz w:val="24"/>
                <w:szCs w:val="24"/>
              </w:rPr>
            </w:pPr>
            <w:r w:rsidRPr="00110CBA">
              <w:rPr>
                <w:rFonts w:ascii="Arial" w:hAnsi="Arial" w:cs="Arial"/>
                <w:sz w:val="24"/>
                <w:szCs w:val="24"/>
              </w:rPr>
              <w:t>General comment</w:t>
            </w:r>
          </w:p>
        </w:tc>
        <w:tc>
          <w:tcPr>
            <w:tcW w:w="3960" w:type="dxa"/>
          </w:tcPr>
          <w:p w14:paraId="3054D182" w14:textId="77777777" w:rsidR="000E4D5F" w:rsidRDefault="0086099C" w:rsidP="000E4D5F">
            <w:pPr>
              <w:rPr>
                <w:rFonts w:ascii="Arial" w:hAnsi="Arial" w:cs="Arial"/>
                <w:sz w:val="24"/>
                <w:szCs w:val="24"/>
              </w:rPr>
            </w:pPr>
            <w:r>
              <w:rPr>
                <w:rFonts w:ascii="Arial" w:hAnsi="Arial" w:cs="Arial"/>
                <w:sz w:val="24"/>
                <w:szCs w:val="24"/>
              </w:rPr>
              <w:t>Commenter has been involved in the California workers’ compensation system since 1973 in various capacities – as a claims administrator, attorney at law, licensed psychologist, and QME for Psychology.  He is a Special Education Child Advocate, Adult Advocate for various social systems and has represented disabled veterans.</w:t>
            </w:r>
          </w:p>
          <w:p w14:paraId="40F642BD" w14:textId="77777777" w:rsidR="002875FC" w:rsidRDefault="002875FC" w:rsidP="000E4D5F">
            <w:pPr>
              <w:rPr>
                <w:rFonts w:ascii="Arial" w:hAnsi="Arial" w:cs="Arial"/>
                <w:sz w:val="24"/>
                <w:szCs w:val="24"/>
              </w:rPr>
            </w:pPr>
          </w:p>
          <w:p w14:paraId="426B36AF" w14:textId="77777777" w:rsidR="002875FC" w:rsidRDefault="002875FC" w:rsidP="000E4D5F">
            <w:pPr>
              <w:rPr>
                <w:rFonts w:ascii="Arial" w:hAnsi="Arial" w:cs="Arial"/>
                <w:sz w:val="24"/>
                <w:szCs w:val="24"/>
              </w:rPr>
            </w:pPr>
            <w:proofErr w:type="gramStart"/>
            <w:r>
              <w:rPr>
                <w:rFonts w:ascii="Arial" w:hAnsi="Arial" w:cs="Arial"/>
                <w:sz w:val="24"/>
                <w:szCs w:val="24"/>
              </w:rPr>
              <w:t>Commenter</w:t>
            </w:r>
            <w:proofErr w:type="gramEnd"/>
            <w:r>
              <w:rPr>
                <w:rFonts w:ascii="Arial" w:hAnsi="Arial" w:cs="Arial"/>
                <w:sz w:val="24"/>
                <w:szCs w:val="24"/>
              </w:rPr>
              <w:t xml:space="preserve"> states that currently there are two specific guidelines in effect for all California Physicians, </w:t>
            </w:r>
            <w:r w:rsidR="00B316C5">
              <w:rPr>
                <w:rFonts w:ascii="Arial" w:hAnsi="Arial" w:cs="Arial"/>
                <w:sz w:val="24"/>
                <w:szCs w:val="24"/>
              </w:rPr>
              <w:t xml:space="preserve">as well as </w:t>
            </w:r>
            <w:r>
              <w:rPr>
                <w:rFonts w:ascii="Arial" w:hAnsi="Arial" w:cs="Arial"/>
                <w:sz w:val="24"/>
                <w:szCs w:val="24"/>
              </w:rPr>
              <w:t xml:space="preserve">the Opioid guideline for </w:t>
            </w:r>
            <w:r>
              <w:rPr>
                <w:rFonts w:ascii="Arial" w:hAnsi="Arial" w:cs="Arial"/>
                <w:sz w:val="24"/>
                <w:szCs w:val="24"/>
              </w:rPr>
              <w:lastRenderedPageBreak/>
              <w:t>workers’ compensation injured workers, which is the subject of this MTUS update.</w:t>
            </w:r>
          </w:p>
          <w:p w14:paraId="261DB23D" w14:textId="77777777" w:rsidR="002875FC" w:rsidRDefault="002875FC" w:rsidP="000E4D5F">
            <w:pPr>
              <w:rPr>
                <w:rFonts w:ascii="Arial" w:hAnsi="Arial" w:cs="Arial"/>
                <w:sz w:val="24"/>
                <w:szCs w:val="24"/>
              </w:rPr>
            </w:pPr>
          </w:p>
          <w:p w14:paraId="5C4B9FC1" w14:textId="56B3223E" w:rsidR="002875FC" w:rsidRDefault="002875FC" w:rsidP="000E4D5F">
            <w:pPr>
              <w:rPr>
                <w:rFonts w:ascii="Arial" w:hAnsi="Arial" w:cs="Arial"/>
                <w:sz w:val="24"/>
                <w:szCs w:val="24"/>
              </w:rPr>
            </w:pPr>
            <w:proofErr w:type="gramStart"/>
            <w:r>
              <w:rPr>
                <w:rFonts w:ascii="Arial" w:hAnsi="Arial" w:cs="Arial"/>
                <w:sz w:val="24"/>
                <w:szCs w:val="24"/>
              </w:rPr>
              <w:t>Commenter</w:t>
            </w:r>
            <w:proofErr w:type="gramEnd"/>
            <w:r>
              <w:rPr>
                <w:rFonts w:ascii="Arial" w:hAnsi="Arial" w:cs="Arial"/>
                <w:sz w:val="24"/>
                <w:szCs w:val="24"/>
              </w:rPr>
              <w:t xml:space="preserve"> opines that there are inconsistencies between these three guidelines and no clear guidance for California physician</w:t>
            </w:r>
            <w:r w:rsidR="00643F54">
              <w:rPr>
                <w:rFonts w:ascii="Arial" w:hAnsi="Arial" w:cs="Arial"/>
                <w:sz w:val="24"/>
                <w:szCs w:val="24"/>
              </w:rPr>
              <w:t>s</w:t>
            </w:r>
            <w:r>
              <w:rPr>
                <w:rFonts w:ascii="Arial" w:hAnsi="Arial" w:cs="Arial"/>
                <w:sz w:val="24"/>
                <w:szCs w:val="24"/>
              </w:rPr>
              <w:t xml:space="preserve"> as how to reconcile these inconsistencies.</w:t>
            </w:r>
          </w:p>
          <w:p w14:paraId="5C3CA7E5" w14:textId="77777777" w:rsidR="002875FC" w:rsidRDefault="002875FC" w:rsidP="000E4D5F">
            <w:pPr>
              <w:rPr>
                <w:rFonts w:ascii="Arial" w:hAnsi="Arial" w:cs="Arial"/>
                <w:sz w:val="24"/>
                <w:szCs w:val="24"/>
              </w:rPr>
            </w:pPr>
          </w:p>
          <w:p w14:paraId="1E01F4E7" w14:textId="77777777" w:rsidR="002875FC" w:rsidRDefault="002875FC" w:rsidP="000E4D5F">
            <w:pPr>
              <w:rPr>
                <w:rFonts w:ascii="Arial" w:hAnsi="Arial" w:cs="Arial"/>
                <w:sz w:val="24"/>
                <w:szCs w:val="24"/>
              </w:rPr>
            </w:pPr>
            <w:r>
              <w:rPr>
                <w:rFonts w:ascii="Arial" w:hAnsi="Arial" w:cs="Arial"/>
                <w:sz w:val="24"/>
                <w:szCs w:val="24"/>
              </w:rPr>
              <w:t xml:space="preserve">Included </w:t>
            </w:r>
            <w:r w:rsidR="00B316C5">
              <w:rPr>
                <w:rFonts w:ascii="Arial" w:hAnsi="Arial" w:cs="Arial"/>
                <w:sz w:val="24"/>
                <w:szCs w:val="24"/>
              </w:rPr>
              <w:t>with his comments are:</w:t>
            </w:r>
          </w:p>
          <w:p w14:paraId="4C1D0D4C" w14:textId="77777777" w:rsidR="00B316C5" w:rsidRDefault="00B316C5" w:rsidP="000E4D5F">
            <w:pPr>
              <w:rPr>
                <w:rFonts w:ascii="Arial" w:hAnsi="Arial" w:cs="Arial"/>
                <w:sz w:val="24"/>
                <w:szCs w:val="24"/>
              </w:rPr>
            </w:pPr>
          </w:p>
          <w:p w14:paraId="1193EC1D" w14:textId="6FDB1DD0" w:rsidR="00B316C5" w:rsidRDefault="00B316C5" w:rsidP="00B316C5">
            <w:pPr>
              <w:numPr>
                <w:ilvl w:val="0"/>
                <w:numId w:val="21"/>
              </w:numPr>
              <w:rPr>
                <w:rFonts w:ascii="Arial" w:hAnsi="Arial" w:cs="Arial"/>
                <w:sz w:val="24"/>
                <w:szCs w:val="24"/>
              </w:rPr>
            </w:pPr>
            <w:r>
              <w:rPr>
                <w:rFonts w:ascii="Arial" w:hAnsi="Arial" w:cs="Arial"/>
                <w:sz w:val="24"/>
                <w:szCs w:val="24"/>
              </w:rPr>
              <w:t xml:space="preserve">Pain Patient Bill of Rights </w:t>
            </w:r>
            <w:proofErr w:type="gramStart"/>
            <w:r>
              <w:rPr>
                <w:rFonts w:ascii="Arial" w:hAnsi="Arial" w:cs="Arial"/>
                <w:sz w:val="24"/>
                <w:szCs w:val="24"/>
              </w:rPr>
              <w:t>And</w:t>
            </w:r>
            <w:proofErr w:type="gramEnd"/>
            <w:r>
              <w:rPr>
                <w:rFonts w:ascii="Arial" w:hAnsi="Arial" w:cs="Arial"/>
                <w:sz w:val="24"/>
                <w:szCs w:val="24"/>
              </w:rPr>
              <w:t xml:space="preserve"> </w:t>
            </w:r>
            <w:r w:rsidR="00643F54">
              <w:rPr>
                <w:rFonts w:ascii="Arial" w:hAnsi="Arial" w:cs="Arial"/>
                <w:sz w:val="24"/>
                <w:szCs w:val="24"/>
              </w:rPr>
              <w:t>Intractable</w:t>
            </w:r>
            <w:r>
              <w:rPr>
                <w:rFonts w:ascii="Arial" w:hAnsi="Arial" w:cs="Arial"/>
                <w:sz w:val="24"/>
                <w:szCs w:val="24"/>
              </w:rPr>
              <w:t xml:space="preserve"> Pain, California Health and Safety Code 124960-61 </w:t>
            </w:r>
            <w:r w:rsidRPr="00B316C5">
              <w:rPr>
                <w:rFonts w:ascii="Arial" w:hAnsi="Arial" w:cs="Arial"/>
                <w:b/>
                <w:bCs/>
                <w:sz w:val="24"/>
                <w:szCs w:val="24"/>
              </w:rPr>
              <w:t>[Exhibit A – copy provided upon request]</w:t>
            </w:r>
          </w:p>
          <w:p w14:paraId="72D5BD4B" w14:textId="19D91E15" w:rsidR="00B316C5" w:rsidRDefault="00B316C5" w:rsidP="00B316C5">
            <w:pPr>
              <w:numPr>
                <w:ilvl w:val="0"/>
                <w:numId w:val="21"/>
              </w:numPr>
              <w:rPr>
                <w:rFonts w:ascii="Arial" w:hAnsi="Arial" w:cs="Arial"/>
                <w:sz w:val="24"/>
                <w:szCs w:val="24"/>
              </w:rPr>
            </w:pPr>
            <w:r>
              <w:rPr>
                <w:rFonts w:ascii="Arial" w:hAnsi="Arial" w:cs="Arial"/>
                <w:sz w:val="24"/>
                <w:szCs w:val="24"/>
              </w:rPr>
              <w:t xml:space="preserve">The Complete Medical Board of California Opioid Guideline </w:t>
            </w:r>
            <w:r w:rsidRPr="00B316C5">
              <w:rPr>
                <w:rFonts w:ascii="Arial" w:hAnsi="Arial" w:cs="Arial"/>
                <w:b/>
                <w:bCs/>
                <w:sz w:val="24"/>
                <w:szCs w:val="24"/>
              </w:rPr>
              <w:t>[Exhibit B – copy provide</w:t>
            </w:r>
            <w:r w:rsidR="00E72AA2">
              <w:rPr>
                <w:rFonts w:ascii="Arial" w:hAnsi="Arial" w:cs="Arial"/>
                <w:b/>
                <w:bCs/>
                <w:sz w:val="24"/>
                <w:szCs w:val="24"/>
              </w:rPr>
              <w:t>d</w:t>
            </w:r>
            <w:r w:rsidRPr="00B316C5">
              <w:rPr>
                <w:rFonts w:ascii="Arial" w:hAnsi="Arial" w:cs="Arial"/>
                <w:b/>
                <w:bCs/>
                <w:sz w:val="24"/>
                <w:szCs w:val="24"/>
              </w:rPr>
              <w:t xml:space="preserve"> upon request]</w:t>
            </w:r>
          </w:p>
          <w:p w14:paraId="0CCBDF42" w14:textId="77777777" w:rsidR="00B316C5" w:rsidRPr="00B316C5" w:rsidRDefault="00B316C5" w:rsidP="00B316C5">
            <w:pPr>
              <w:numPr>
                <w:ilvl w:val="0"/>
                <w:numId w:val="21"/>
              </w:numPr>
              <w:rPr>
                <w:rFonts w:ascii="Arial" w:hAnsi="Arial" w:cs="Arial"/>
                <w:b/>
                <w:bCs/>
                <w:sz w:val="24"/>
                <w:szCs w:val="24"/>
              </w:rPr>
            </w:pPr>
            <w:r>
              <w:rPr>
                <w:rFonts w:ascii="Arial" w:hAnsi="Arial" w:cs="Arial"/>
                <w:sz w:val="24"/>
                <w:szCs w:val="24"/>
              </w:rPr>
              <w:t xml:space="preserve">Illustrative Example of Legacy California Workers’ Compensation Patient </w:t>
            </w:r>
            <w:r w:rsidRPr="00B316C5">
              <w:rPr>
                <w:rFonts w:ascii="Arial" w:hAnsi="Arial" w:cs="Arial"/>
                <w:b/>
                <w:bCs/>
                <w:sz w:val="24"/>
                <w:szCs w:val="24"/>
              </w:rPr>
              <w:t>[Exhibit C – a copy provided upon request]</w:t>
            </w:r>
          </w:p>
          <w:p w14:paraId="0440A7F2" w14:textId="77777777" w:rsidR="00B316C5" w:rsidRDefault="00B316C5" w:rsidP="00B316C5">
            <w:pPr>
              <w:rPr>
                <w:rFonts w:ascii="Arial" w:hAnsi="Arial" w:cs="Arial"/>
                <w:sz w:val="24"/>
                <w:szCs w:val="24"/>
              </w:rPr>
            </w:pPr>
          </w:p>
          <w:p w14:paraId="3F778E89" w14:textId="6E6406E1" w:rsidR="00B316C5" w:rsidRDefault="00B316C5" w:rsidP="00B316C5">
            <w:pPr>
              <w:rPr>
                <w:rFonts w:ascii="Arial" w:hAnsi="Arial" w:cs="Arial"/>
                <w:sz w:val="24"/>
                <w:szCs w:val="24"/>
              </w:rPr>
            </w:pPr>
            <w:r>
              <w:rPr>
                <w:rFonts w:ascii="Arial" w:hAnsi="Arial" w:cs="Arial"/>
                <w:sz w:val="24"/>
                <w:szCs w:val="24"/>
              </w:rPr>
              <w:lastRenderedPageBreak/>
              <w:t>Comm</w:t>
            </w:r>
            <w:r w:rsidR="00CC1469">
              <w:rPr>
                <w:rFonts w:ascii="Arial" w:hAnsi="Arial" w:cs="Arial"/>
                <w:sz w:val="24"/>
                <w:szCs w:val="24"/>
              </w:rPr>
              <w:t>e</w:t>
            </w:r>
            <w:r>
              <w:rPr>
                <w:rFonts w:ascii="Arial" w:hAnsi="Arial" w:cs="Arial"/>
                <w:sz w:val="24"/>
                <w:szCs w:val="24"/>
              </w:rPr>
              <w:t xml:space="preserve">nter notes that The Pain Patient Bill of rights was revised by the Legislature in 2001 during the “opioid crisis.” The legislature did not remove any of the original language but clarified and strengthened the </w:t>
            </w:r>
            <w:r w:rsidR="00643F54">
              <w:rPr>
                <w:rFonts w:ascii="Arial" w:hAnsi="Arial" w:cs="Arial"/>
                <w:sz w:val="24"/>
                <w:szCs w:val="24"/>
              </w:rPr>
              <w:t xml:space="preserve">existing </w:t>
            </w:r>
            <w:r>
              <w:rPr>
                <w:rFonts w:ascii="Arial" w:hAnsi="Arial" w:cs="Arial"/>
                <w:sz w:val="24"/>
                <w:szCs w:val="24"/>
              </w:rPr>
              <w:t>language. Commenter notes that this bill of rights provides that:</w:t>
            </w:r>
          </w:p>
          <w:p w14:paraId="68A3EA45" w14:textId="77777777" w:rsidR="00B316C5" w:rsidRDefault="00B316C5" w:rsidP="00B316C5">
            <w:pPr>
              <w:rPr>
                <w:rFonts w:ascii="Arial" w:hAnsi="Arial" w:cs="Arial"/>
                <w:sz w:val="24"/>
                <w:szCs w:val="24"/>
              </w:rPr>
            </w:pPr>
          </w:p>
          <w:p w14:paraId="735F445C" w14:textId="77777777" w:rsidR="00B316C5" w:rsidRDefault="00B316C5" w:rsidP="00B316C5">
            <w:pPr>
              <w:rPr>
                <w:rFonts w:ascii="Arial" w:hAnsi="Arial" w:cs="Arial"/>
                <w:sz w:val="24"/>
                <w:szCs w:val="24"/>
              </w:rPr>
            </w:pPr>
            <w:r>
              <w:rPr>
                <w:rFonts w:ascii="Arial" w:hAnsi="Arial" w:cs="Arial"/>
                <w:sz w:val="24"/>
                <w:szCs w:val="24"/>
              </w:rPr>
              <w:t>(h) A patient suffering from severe chronic intractable pain has the option to request or reject the use of any or all modalities to relieve his or her pain.</w:t>
            </w:r>
          </w:p>
          <w:p w14:paraId="28CE81D2" w14:textId="77777777" w:rsidR="00B316C5" w:rsidRDefault="00B316C5" w:rsidP="00B316C5">
            <w:pPr>
              <w:rPr>
                <w:rFonts w:ascii="Arial" w:hAnsi="Arial" w:cs="Arial"/>
                <w:sz w:val="24"/>
                <w:szCs w:val="24"/>
              </w:rPr>
            </w:pPr>
          </w:p>
          <w:p w14:paraId="15572DA2" w14:textId="67C331E2" w:rsidR="00B316C5" w:rsidRDefault="00B316C5" w:rsidP="00B316C5">
            <w:pPr>
              <w:rPr>
                <w:rFonts w:ascii="Arial" w:hAnsi="Arial" w:cs="Arial"/>
                <w:sz w:val="24"/>
                <w:szCs w:val="24"/>
              </w:rPr>
            </w:pPr>
            <w:r>
              <w:rPr>
                <w:rFonts w:ascii="Arial" w:hAnsi="Arial" w:cs="Arial"/>
                <w:sz w:val="24"/>
                <w:szCs w:val="24"/>
              </w:rPr>
              <w:t>(j) A patient who suffers from sever</w:t>
            </w:r>
            <w:r w:rsidR="00643F54">
              <w:rPr>
                <w:rFonts w:ascii="Arial" w:hAnsi="Arial" w:cs="Arial"/>
                <w:sz w:val="24"/>
                <w:szCs w:val="24"/>
              </w:rPr>
              <w:t>e</w:t>
            </w:r>
            <w:r>
              <w:rPr>
                <w:rFonts w:ascii="Arial" w:hAnsi="Arial" w:cs="Arial"/>
                <w:sz w:val="24"/>
                <w:szCs w:val="24"/>
              </w:rPr>
              <w:t xml:space="preserve"> chronic intractable pain has the option to choose opiate medication for the treatment of sever</w:t>
            </w:r>
            <w:r w:rsidR="00643F54">
              <w:rPr>
                <w:rFonts w:ascii="Arial" w:hAnsi="Arial" w:cs="Arial"/>
                <w:sz w:val="24"/>
                <w:szCs w:val="24"/>
              </w:rPr>
              <w:t>e</w:t>
            </w:r>
            <w:r>
              <w:rPr>
                <w:rFonts w:ascii="Arial" w:hAnsi="Arial" w:cs="Arial"/>
                <w:sz w:val="24"/>
                <w:szCs w:val="24"/>
              </w:rPr>
              <w:t xml:space="preserve"> chronic intractable pain </w:t>
            </w:r>
            <w:proofErr w:type="gramStart"/>
            <w:r>
              <w:rPr>
                <w:rFonts w:ascii="Arial" w:hAnsi="Arial" w:cs="Arial"/>
                <w:sz w:val="24"/>
                <w:szCs w:val="24"/>
              </w:rPr>
              <w:t>as long as</w:t>
            </w:r>
            <w:proofErr w:type="gramEnd"/>
            <w:r>
              <w:rPr>
                <w:rFonts w:ascii="Arial" w:hAnsi="Arial" w:cs="Arial"/>
                <w:sz w:val="24"/>
                <w:szCs w:val="24"/>
              </w:rPr>
              <w:t xml:space="preserve"> the prescribing is in conformance with Section 2241.5 of the Business and Profession Code.</w:t>
            </w:r>
          </w:p>
          <w:p w14:paraId="4C7E593F" w14:textId="77777777" w:rsidR="00B316C5" w:rsidRDefault="00B316C5" w:rsidP="00B316C5">
            <w:pPr>
              <w:rPr>
                <w:rFonts w:ascii="Arial" w:hAnsi="Arial" w:cs="Arial"/>
                <w:sz w:val="24"/>
                <w:szCs w:val="24"/>
              </w:rPr>
            </w:pPr>
          </w:p>
          <w:p w14:paraId="2632A4F9" w14:textId="367A7AAF" w:rsidR="00B316C5" w:rsidRDefault="00B316C5" w:rsidP="00B316C5">
            <w:pPr>
              <w:rPr>
                <w:rFonts w:ascii="Arial" w:hAnsi="Arial" w:cs="Arial"/>
                <w:sz w:val="24"/>
                <w:szCs w:val="24"/>
              </w:rPr>
            </w:pPr>
            <w:r>
              <w:rPr>
                <w:rFonts w:ascii="Arial" w:hAnsi="Arial" w:cs="Arial"/>
                <w:sz w:val="24"/>
                <w:szCs w:val="24"/>
              </w:rPr>
              <w:t>Commenter notes that the proposed 2024 ACOEM Opi</w:t>
            </w:r>
            <w:r w:rsidR="00643F54">
              <w:rPr>
                <w:rFonts w:ascii="Arial" w:hAnsi="Arial" w:cs="Arial"/>
                <w:sz w:val="24"/>
                <w:szCs w:val="24"/>
              </w:rPr>
              <w:t xml:space="preserve">oid </w:t>
            </w:r>
            <w:r>
              <w:rPr>
                <w:rFonts w:ascii="Arial" w:hAnsi="Arial" w:cs="Arial"/>
                <w:sz w:val="24"/>
                <w:szCs w:val="24"/>
              </w:rPr>
              <w:t>Guidelines do</w:t>
            </w:r>
            <w:r w:rsidR="005B7B6B">
              <w:rPr>
                <w:rFonts w:ascii="Arial" w:hAnsi="Arial" w:cs="Arial"/>
                <w:sz w:val="24"/>
                <w:szCs w:val="24"/>
              </w:rPr>
              <w:t>e</w:t>
            </w:r>
            <w:r>
              <w:rPr>
                <w:rFonts w:ascii="Arial" w:hAnsi="Arial" w:cs="Arial"/>
                <w:sz w:val="24"/>
                <w:szCs w:val="24"/>
              </w:rPr>
              <w:t>s not provide for Intractable Pain, nor does it refer to California Law.</w:t>
            </w:r>
            <w:r w:rsidR="005B7B6B">
              <w:rPr>
                <w:rFonts w:ascii="Arial" w:hAnsi="Arial" w:cs="Arial"/>
                <w:sz w:val="24"/>
                <w:szCs w:val="24"/>
              </w:rPr>
              <w:t xml:space="preserve"> </w:t>
            </w:r>
            <w:proofErr w:type="gramStart"/>
            <w:r w:rsidR="005B7B6B">
              <w:rPr>
                <w:rFonts w:ascii="Arial" w:hAnsi="Arial" w:cs="Arial"/>
                <w:sz w:val="24"/>
                <w:szCs w:val="24"/>
              </w:rPr>
              <w:t>Commenter</w:t>
            </w:r>
            <w:proofErr w:type="gramEnd"/>
            <w:r w:rsidR="005B7B6B">
              <w:rPr>
                <w:rFonts w:ascii="Arial" w:hAnsi="Arial" w:cs="Arial"/>
                <w:sz w:val="24"/>
                <w:szCs w:val="24"/>
              </w:rPr>
              <w:t xml:space="preserve"> </w:t>
            </w:r>
            <w:r w:rsidR="005B7B6B">
              <w:rPr>
                <w:rFonts w:ascii="Arial" w:hAnsi="Arial" w:cs="Arial"/>
                <w:sz w:val="24"/>
                <w:szCs w:val="24"/>
              </w:rPr>
              <w:lastRenderedPageBreak/>
              <w:t>opines that the basic rights of California based patients are not honored by ACOEM which applies nationwide and has no consideration of state mandated provisions and limitations.</w:t>
            </w:r>
          </w:p>
          <w:p w14:paraId="7FEFAB30" w14:textId="77777777" w:rsidR="005B7B6B" w:rsidRDefault="005B7B6B" w:rsidP="00B316C5">
            <w:pPr>
              <w:rPr>
                <w:rFonts w:ascii="Arial" w:hAnsi="Arial" w:cs="Arial"/>
                <w:sz w:val="24"/>
                <w:szCs w:val="24"/>
              </w:rPr>
            </w:pPr>
          </w:p>
          <w:p w14:paraId="28873C43" w14:textId="77777777" w:rsidR="005B7B6B" w:rsidRDefault="005B7B6B" w:rsidP="00B316C5">
            <w:pPr>
              <w:rPr>
                <w:rFonts w:ascii="Arial" w:hAnsi="Arial" w:cs="Arial"/>
                <w:sz w:val="24"/>
                <w:szCs w:val="24"/>
              </w:rPr>
            </w:pPr>
            <w:r>
              <w:rPr>
                <w:rFonts w:ascii="Arial" w:hAnsi="Arial" w:cs="Arial"/>
                <w:sz w:val="24"/>
                <w:szCs w:val="24"/>
              </w:rPr>
              <w:t>Commenter notes that the proposed 2024 Opioid Guideline clearly defines in the Introduction on Page 3 that it does not apply to intractable pain:</w:t>
            </w:r>
          </w:p>
          <w:p w14:paraId="671F9880" w14:textId="77777777" w:rsidR="005B7B6B" w:rsidRDefault="005B7B6B" w:rsidP="00B316C5">
            <w:pPr>
              <w:rPr>
                <w:rFonts w:ascii="Arial" w:hAnsi="Arial" w:cs="Arial"/>
                <w:sz w:val="24"/>
                <w:szCs w:val="24"/>
              </w:rPr>
            </w:pPr>
          </w:p>
          <w:p w14:paraId="422A4F40" w14:textId="77777777" w:rsidR="005B7B6B" w:rsidRDefault="005B7B6B" w:rsidP="00B316C5">
            <w:pPr>
              <w:rPr>
                <w:rFonts w:ascii="Arial" w:hAnsi="Arial" w:cs="Arial"/>
                <w:sz w:val="24"/>
                <w:szCs w:val="24"/>
              </w:rPr>
            </w:pPr>
            <w:r>
              <w:rPr>
                <w:rFonts w:ascii="Arial" w:hAnsi="Arial" w:cs="Arial"/>
                <w:sz w:val="24"/>
                <w:szCs w:val="24"/>
              </w:rPr>
              <w:t>“The ACOEM Opioids Guideline is designed to provide healthcare providers (who are the primary target users of this guideline) with evidence-based guidance on the use of opioids for the treatment of working-age adults with acute, subacute, chronic, or post-operative nociceptive pain.”</w:t>
            </w:r>
          </w:p>
          <w:p w14:paraId="6C2F218A" w14:textId="77777777" w:rsidR="00AF236B" w:rsidRDefault="00AF236B" w:rsidP="00B316C5">
            <w:pPr>
              <w:rPr>
                <w:rFonts w:ascii="Arial" w:hAnsi="Arial" w:cs="Arial"/>
                <w:sz w:val="24"/>
                <w:szCs w:val="24"/>
              </w:rPr>
            </w:pPr>
          </w:p>
          <w:p w14:paraId="67269C6C" w14:textId="79855168" w:rsidR="00AF236B" w:rsidRDefault="00AF236B" w:rsidP="00B316C5">
            <w:pPr>
              <w:rPr>
                <w:rFonts w:ascii="Arial" w:hAnsi="Arial" w:cs="Arial"/>
                <w:sz w:val="24"/>
                <w:szCs w:val="24"/>
              </w:rPr>
            </w:pPr>
            <w:r>
              <w:rPr>
                <w:rFonts w:ascii="Arial" w:hAnsi="Arial" w:cs="Arial"/>
                <w:sz w:val="24"/>
                <w:szCs w:val="24"/>
              </w:rPr>
              <w:t>Commenter notes that the ACOEM guideline defines in its scope that it addresses acute pain, chronic pain, postoperative pain, and subacute pain (page</w:t>
            </w:r>
            <w:r w:rsidR="00643F54">
              <w:rPr>
                <w:rFonts w:ascii="Arial" w:hAnsi="Arial" w:cs="Arial"/>
                <w:sz w:val="24"/>
                <w:szCs w:val="24"/>
              </w:rPr>
              <w:t xml:space="preserve">s </w:t>
            </w:r>
            <w:r>
              <w:rPr>
                <w:rFonts w:ascii="Arial" w:hAnsi="Arial" w:cs="Arial"/>
                <w:sz w:val="24"/>
                <w:szCs w:val="24"/>
              </w:rPr>
              <w:t>4-5). However, it states that intractable pain is not subject to the scope of the guideline (page 5)</w:t>
            </w:r>
          </w:p>
          <w:p w14:paraId="4F4BCDA6" w14:textId="77777777" w:rsidR="00AF236B" w:rsidRDefault="00AF236B" w:rsidP="00B316C5">
            <w:pPr>
              <w:rPr>
                <w:rFonts w:ascii="Arial" w:hAnsi="Arial" w:cs="Arial"/>
                <w:sz w:val="24"/>
                <w:szCs w:val="24"/>
              </w:rPr>
            </w:pPr>
          </w:p>
          <w:p w14:paraId="2A1D4128" w14:textId="77777777" w:rsidR="00AF236B" w:rsidRDefault="00AF236B" w:rsidP="00B316C5">
            <w:pPr>
              <w:rPr>
                <w:rFonts w:ascii="Arial" w:hAnsi="Arial" w:cs="Arial"/>
                <w:sz w:val="24"/>
                <w:szCs w:val="24"/>
              </w:rPr>
            </w:pPr>
            <w:r>
              <w:rPr>
                <w:rFonts w:ascii="Arial" w:hAnsi="Arial" w:cs="Arial"/>
                <w:sz w:val="24"/>
                <w:szCs w:val="24"/>
              </w:rPr>
              <w:t xml:space="preserve">Commenter stresses that this proposed ACOEM guideline omits </w:t>
            </w:r>
            <w:r w:rsidR="00E92318">
              <w:rPr>
                <w:rFonts w:ascii="Arial" w:hAnsi="Arial" w:cs="Arial"/>
                <w:sz w:val="24"/>
                <w:szCs w:val="24"/>
              </w:rPr>
              <w:t>any guidance for a patient it define</w:t>
            </w:r>
            <w:r w:rsidR="001110E7">
              <w:rPr>
                <w:rFonts w:ascii="Arial" w:hAnsi="Arial" w:cs="Arial"/>
                <w:sz w:val="24"/>
                <w:szCs w:val="24"/>
              </w:rPr>
              <w:t>s</w:t>
            </w:r>
            <w:r w:rsidR="00E92318">
              <w:rPr>
                <w:rFonts w:ascii="Arial" w:hAnsi="Arial" w:cs="Arial"/>
                <w:sz w:val="24"/>
                <w:szCs w:val="24"/>
              </w:rPr>
              <w:t xml:space="preserve"> as suffering from intractable pain.</w:t>
            </w:r>
          </w:p>
          <w:p w14:paraId="3F596BEE" w14:textId="77777777" w:rsidR="001975A8" w:rsidRDefault="001975A8" w:rsidP="00B316C5">
            <w:pPr>
              <w:rPr>
                <w:rFonts w:ascii="Arial" w:hAnsi="Arial" w:cs="Arial"/>
                <w:sz w:val="24"/>
                <w:szCs w:val="24"/>
              </w:rPr>
            </w:pPr>
          </w:p>
          <w:p w14:paraId="648E5F7A" w14:textId="7699E165" w:rsidR="001975A8" w:rsidRDefault="001975A8" w:rsidP="00B316C5">
            <w:pPr>
              <w:rPr>
                <w:rFonts w:ascii="Arial" w:hAnsi="Arial" w:cs="Arial"/>
                <w:sz w:val="24"/>
                <w:szCs w:val="24"/>
              </w:rPr>
            </w:pPr>
            <w:proofErr w:type="gramStart"/>
            <w:r>
              <w:rPr>
                <w:rFonts w:ascii="Arial" w:hAnsi="Arial" w:cs="Arial"/>
                <w:sz w:val="24"/>
                <w:szCs w:val="24"/>
              </w:rPr>
              <w:t>Commenter</w:t>
            </w:r>
            <w:proofErr w:type="gramEnd"/>
            <w:r>
              <w:rPr>
                <w:rFonts w:ascii="Arial" w:hAnsi="Arial" w:cs="Arial"/>
                <w:sz w:val="24"/>
                <w:szCs w:val="24"/>
              </w:rPr>
              <w:t xml:space="preserve"> states that The Pain Patient Bill of Rights is California law, applicable to all patients with</w:t>
            </w:r>
            <w:r w:rsidR="00643F54">
              <w:rPr>
                <w:rFonts w:ascii="Arial" w:hAnsi="Arial" w:cs="Arial"/>
                <w:sz w:val="24"/>
                <w:szCs w:val="24"/>
              </w:rPr>
              <w:t>in</w:t>
            </w:r>
            <w:r>
              <w:rPr>
                <w:rFonts w:ascii="Arial" w:hAnsi="Arial" w:cs="Arial"/>
                <w:sz w:val="24"/>
                <w:szCs w:val="24"/>
              </w:rPr>
              <w:t xml:space="preserve"> the state. No category of patient is sequestered from this law. By its terms, the law is mandatory, and intractable pain patients have the absolute right to any modality of treatment they desire. Injured workers in California should not have care inferior to the mandatory standard for any other category of patient. </w:t>
            </w:r>
            <w:proofErr w:type="gramStart"/>
            <w:r>
              <w:rPr>
                <w:rFonts w:ascii="Arial" w:hAnsi="Arial" w:cs="Arial"/>
                <w:sz w:val="24"/>
                <w:szCs w:val="24"/>
              </w:rPr>
              <w:t>Commenter</w:t>
            </w:r>
            <w:proofErr w:type="gramEnd"/>
            <w:r>
              <w:rPr>
                <w:rFonts w:ascii="Arial" w:hAnsi="Arial" w:cs="Arial"/>
                <w:sz w:val="24"/>
                <w:szCs w:val="24"/>
              </w:rPr>
              <w:t xml:space="preserve"> opines that a solution for intractable pain, and integration of the Pain Patient Bill of Rights needs to be addressed before the Proposed Opioid Guideline in finalized.</w:t>
            </w:r>
          </w:p>
          <w:p w14:paraId="44F1B93D" w14:textId="77777777" w:rsidR="00E92318" w:rsidRDefault="00E92318" w:rsidP="00B316C5">
            <w:pPr>
              <w:rPr>
                <w:rFonts w:ascii="Arial" w:hAnsi="Arial" w:cs="Arial"/>
                <w:sz w:val="24"/>
                <w:szCs w:val="24"/>
              </w:rPr>
            </w:pPr>
          </w:p>
          <w:p w14:paraId="085C44E9" w14:textId="77777777" w:rsidR="00E92318" w:rsidRDefault="001110E7" w:rsidP="00B316C5">
            <w:pPr>
              <w:rPr>
                <w:rFonts w:ascii="Arial" w:hAnsi="Arial" w:cs="Arial"/>
                <w:sz w:val="24"/>
                <w:szCs w:val="24"/>
              </w:rPr>
            </w:pPr>
            <w:r>
              <w:rPr>
                <w:rFonts w:ascii="Arial" w:hAnsi="Arial" w:cs="Arial"/>
                <w:sz w:val="24"/>
                <w:szCs w:val="24"/>
              </w:rPr>
              <w:t xml:space="preserve">Regarding the Complete Medical Board of California Opioid Guideline, commenter notes that commencing on page 18, it defines 13 special patient populations and </w:t>
            </w:r>
            <w:r>
              <w:rPr>
                <w:rFonts w:ascii="Arial" w:hAnsi="Arial" w:cs="Arial"/>
                <w:sz w:val="24"/>
                <w:szCs w:val="24"/>
              </w:rPr>
              <w:lastRenderedPageBreak/>
              <w:t xml:space="preserve">notably on page 19, specifically indicates that patients with intractable pain are not subject to the MBC Guideline, unlike the ACOEM guideline that defines, but then does not later </w:t>
            </w:r>
            <w:r w:rsidR="007634B0">
              <w:rPr>
                <w:rFonts w:ascii="Arial" w:hAnsi="Arial" w:cs="Arial"/>
                <w:sz w:val="24"/>
                <w:szCs w:val="24"/>
              </w:rPr>
              <w:t>clearly</w:t>
            </w:r>
            <w:r>
              <w:rPr>
                <w:rFonts w:ascii="Arial" w:hAnsi="Arial" w:cs="Arial"/>
                <w:sz w:val="24"/>
                <w:szCs w:val="24"/>
              </w:rPr>
              <w:t xml:space="preserve"> indicate that patients with intractable pain are not subject to the ACOEM Opioid Guide.</w:t>
            </w:r>
          </w:p>
          <w:p w14:paraId="56CC59C3" w14:textId="77777777" w:rsidR="001110E7" w:rsidRDefault="001110E7" w:rsidP="00B316C5">
            <w:pPr>
              <w:rPr>
                <w:rFonts w:ascii="Arial" w:hAnsi="Arial" w:cs="Arial"/>
                <w:sz w:val="24"/>
                <w:szCs w:val="24"/>
              </w:rPr>
            </w:pPr>
          </w:p>
          <w:p w14:paraId="789C73BD" w14:textId="0868E7EA" w:rsidR="001110E7" w:rsidRDefault="001110E7" w:rsidP="00B316C5">
            <w:pPr>
              <w:rPr>
                <w:rFonts w:ascii="Arial" w:hAnsi="Arial" w:cs="Arial"/>
                <w:sz w:val="24"/>
                <w:szCs w:val="24"/>
              </w:rPr>
            </w:pPr>
            <w:r>
              <w:rPr>
                <w:rFonts w:ascii="Arial" w:hAnsi="Arial" w:cs="Arial"/>
                <w:sz w:val="24"/>
                <w:szCs w:val="24"/>
              </w:rPr>
              <w:t>Commenter opines that California physicians are faced with two conflicting guidelines, the MBC guideline which protects the Pain Patient Bill of Rights, and the existing and Proposed ACOEM Guideline that does not.  Commenter recommend</w:t>
            </w:r>
            <w:r w:rsidR="00643F54">
              <w:rPr>
                <w:rFonts w:ascii="Arial" w:hAnsi="Arial" w:cs="Arial"/>
                <w:sz w:val="24"/>
                <w:szCs w:val="24"/>
              </w:rPr>
              <w:t>s</w:t>
            </w:r>
            <w:r>
              <w:rPr>
                <w:rFonts w:ascii="Arial" w:hAnsi="Arial" w:cs="Arial"/>
                <w:sz w:val="24"/>
                <w:szCs w:val="24"/>
              </w:rPr>
              <w:t xml:space="preserve"> that the inclusion of a clear statement that this Proposed ACOEM Opioid Treatment Guideline does not apply to patients with intractable pain, as does the MBC Opioid Guideline on Page 19, would resolve this inconsistency.</w:t>
            </w:r>
          </w:p>
          <w:p w14:paraId="25111B10" w14:textId="77777777" w:rsidR="001110E7" w:rsidRDefault="001110E7" w:rsidP="00B316C5">
            <w:pPr>
              <w:rPr>
                <w:rFonts w:ascii="Arial" w:hAnsi="Arial" w:cs="Arial"/>
                <w:sz w:val="24"/>
                <w:szCs w:val="24"/>
              </w:rPr>
            </w:pPr>
          </w:p>
          <w:p w14:paraId="1C4802F7" w14:textId="3410E680" w:rsidR="00CC1469" w:rsidRDefault="00CC1469" w:rsidP="00B316C5">
            <w:pPr>
              <w:rPr>
                <w:rFonts w:ascii="Arial" w:hAnsi="Arial" w:cs="Arial"/>
                <w:sz w:val="24"/>
                <w:szCs w:val="24"/>
              </w:rPr>
            </w:pPr>
            <w:r>
              <w:rPr>
                <w:rFonts w:ascii="Arial" w:hAnsi="Arial" w:cs="Arial"/>
                <w:sz w:val="24"/>
                <w:szCs w:val="24"/>
              </w:rPr>
              <w:t xml:space="preserve">Finally, </w:t>
            </w:r>
            <w:proofErr w:type="gramStart"/>
            <w:r>
              <w:rPr>
                <w:rFonts w:ascii="Arial" w:hAnsi="Arial" w:cs="Arial"/>
                <w:sz w:val="24"/>
                <w:szCs w:val="24"/>
              </w:rPr>
              <w:t>commenter</w:t>
            </w:r>
            <w:proofErr w:type="gramEnd"/>
            <w:r>
              <w:rPr>
                <w:rFonts w:ascii="Arial" w:hAnsi="Arial" w:cs="Arial"/>
                <w:sz w:val="24"/>
                <w:szCs w:val="24"/>
              </w:rPr>
              <w:t xml:space="preserve"> submitted examples of IMR decisions that were issued when reviewing requested treatment for </w:t>
            </w:r>
            <w:proofErr w:type="gramStart"/>
            <w:r>
              <w:rPr>
                <w:rFonts w:ascii="Arial" w:hAnsi="Arial" w:cs="Arial"/>
                <w:sz w:val="24"/>
                <w:szCs w:val="24"/>
              </w:rPr>
              <w:t>an elderly</w:t>
            </w:r>
            <w:proofErr w:type="gramEnd"/>
            <w:r>
              <w:rPr>
                <w:rFonts w:ascii="Arial" w:hAnsi="Arial" w:cs="Arial"/>
                <w:sz w:val="24"/>
                <w:szCs w:val="24"/>
              </w:rPr>
              <w:t xml:space="preserve"> injured worker </w:t>
            </w:r>
            <w:r w:rsidR="00643F54">
              <w:rPr>
                <w:rFonts w:ascii="Arial" w:hAnsi="Arial" w:cs="Arial"/>
                <w:sz w:val="24"/>
                <w:szCs w:val="24"/>
              </w:rPr>
              <w:t>whom</w:t>
            </w:r>
            <w:r>
              <w:rPr>
                <w:rFonts w:ascii="Arial" w:hAnsi="Arial" w:cs="Arial"/>
                <w:sz w:val="24"/>
                <w:szCs w:val="24"/>
              </w:rPr>
              <w:t xml:space="preserve"> the </w:t>
            </w:r>
            <w:r>
              <w:rPr>
                <w:rFonts w:ascii="Arial" w:hAnsi="Arial" w:cs="Arial"/>
                <w:sz w:val="24"/>
                <w:szCs w:val="24"/>
              </w:rPr>
              <w:lastRenderedPageBreak/>
              <w:t xml:space="preserve">commenter acts as an advocate for.  In these examples he illustrates that medical reviewers </w:t>
            </w:r>
            <w:r w:rsidR="00643F54">
              <w:rPr>
                <w:rFonts w:ascii="Arial" w:hAnsi="Arial" w:cs="Arial"/>
                <w:sz w:val="24"/>
                <w:szCs w:val="24"/>
              </w:rPr>
              <w:t>are</w:t>
            </w:r>
            <w:r>
              <w:rPr>
                <w:rFonts w:ascii="Arial" w:hAnsi="Arial" w:cs="Arial"/>
                <w:sz w:val="24"/>
                <w:szCs w:val="24"/>
              </w:rPr>
              <w:t xml:space="preserve"> inappropriately applying the 2017 ACOEM Opioid Guides</w:t>
            </w:r>
            <w:r w:rsidR="00151E53">
              <w:rPr>
                <w:rFonts w:ascii="Arial" w:hAnsi="Arial" w:cs="Arial"/>
                <w:sz w:val="24"/>
                <w:szCs w:val="24"/>
              </w:rPr>
              <w:t xml:space="preserve"> to deny pain medication</w:t>
            </w:r>
            <w:r>
              <w:rPr>
                <w:rFonts w:ascii="Arial" w:hAnsi="Arial" w:cs="Arial"/>
                <w:sz w:val="24"/>
                <w:szCs w:val="24"/>
              </w:rPr>
              <w:t xml:space="preserve"> </w:t>
            </w:r>
            <w:r w:rsidR="00151E53">
              <w:rPr>
                <w:rFonts w:ascii="Arial" w:hAnsi="Arial" w:cs="Arial"/>
                <w:sz w:val="24"/>
                <w:szCs w:val="24"/>
              </w:rPr>
              <w:t>for</w:t>
            </w:r>
            <w:r>
              <w:rPr>
                <w:rFonts w:ascii="Arial" w:hAnsi="Arial" w:cs="Arial"/>
                <w:sz w:val="24"/>
                <w:szCs w:val="24"/>
              </w:rPr>
              <w:t xml:space="preserve"> a legacy patient who has intractable pain who should be covered for treatment un the California Pain Patient Bill of Rights.</w:t>
            </w:r>
          </w:p>
          <w:p w14:paraId="11A68285" w14:textId="77777777" w:rsidR="00CC1469" w:rsidRDefault="00CC1469" w:rsidP="00B316C5">
            <w:pPr>
              <w:rPr>
                <w:rFonts w:ascii="Arial" w:hAnsi="Arial" w:cs="Arial"/>
                <w:sz w:val="24"/>
                <w:szCs w:val="24"/>
              </w:rPr>
            </w:pPr>
          </w:p>
          <w:p w14:paraId="3BE9D20D" w14:textId="77777777" w:rsidR="00CC1469" w:rsidRDefault="00CC1469" w:rsidP="00B316C5">
            <w:pPr>
              <w:rPr>
                <w:rFonts w:ascii="Arial" w:hAnsi="Arial" w:cs="Arial"/>
                <w:sz w:val="24"/>
                <w:szCs w:val="24"/>
              </w:rPr>
            </w:pPr>
            <w:r>
              <w:rPr>
                <w:rFonts w:ascii="Arial" w:hAnsi="Arial" w:cs="Arial"/>
                <w:sz w:val="24"/>
                <w:szCs w:val="24"/>
              </w:rPr>
              <w:t>To correct this problem, commenter makes the following suggestions:</w:t>
            </w:r>
          </w:p>
          <w:p w14:paraId="142C1D3C" w14:textId="77777777" w:rsidR="00CC1469" w:rsidRDefault="00CC1469" w:rsidP="00B316C5">
            <w:pPr>
              <w:rPr>
                <w:rFonts w:ascii="Arial" w:hAnsi="Arial" w:cs="Arial"/>
                <w:sz w:val="24"/>
                <w:szCs w:val="24"/>
              </w:rPr>
            </w:pPr>
          </w:p>
          <w:p w14:paraId="7B6A3879" w14:textId="77777777" w:rsidR="00CC1469" w:rsidRDefault="00CC1469" w:rsidP="00CC1469">
            <w:pPr>
              <w:numPr>
                <w:ilvl w:val="0"/>
                <w:numId w:val="22"/>
              </w:numPr>
              <w:rPr>
                <w:rFonts w:ascii="Arial" w:hAnsi="Arial" w:cs="Arial"/>
                <w:sz w:val="24"/>
                <w:szCs w:val="24"/>
              </w:rPr>
            </w:pPr>
            <w:r>
              <w:rPr>
                <w:rFonts w:ascii="Arial" w:hAnsi="Arial" w:cs="Arial"/>
                <w:sz w:val="24"/>
                <w:szCs w:val="24"/>
              </w:rPr>
              <w:t>Set forth a specific Opioid guideline for injured workers w</w:t>
            </w:r>
            <w:r w:rsidR="007634B0">
              <w:rPr>
                <w:rFonts w:ascii="Arial" w:hAnsi="Arial" w:cs="Arial"/>
                <w:sz w:val="24"/>
                <w:szCs w:val="24"/>
              </w:rPr>
              <w:t>h</w:t>
            </w:r>
            <w:r>
              <w:rPr>
                <w:rFonts w:ascii="Arial" w:hAnsi="Arial" w:cs="Arial"/>
                <w:sz w:val="24"/>
                <w:szCs w:val="24"/>
              </w:rPr>
              <w:t>o are permanently and totally disabled. Expectation of improvement should not be required.</w:t>
            </w:r>
          </w:p>
          <w:p w14:paraId="35056435" w14:textId="77777777" w:rsidR="00CC1469" w:rsidRDefault="00CC1469" w:rsidP="00CC1469">
            <w:pPr>
              <w:numPr>
                <w:ilvl w:val="0"/>
                <w:numId w:val="22"/>
              </w:numPr>
              <w:rPr>
                <w:rFonts w:ascii="Arial" w:hAnsi="Arial" w:cs="Arial"/>
                <w:sz w:val="24"/>
                <w:szCs w:val="24"/>
              </w:rPr>
            </w:pPr>
            <w:r>
              <w:rPr>
                <w:rFonts w:ascii="Arial" w:hAnsi="Arial" w:cs="Arial"/>
                <w:sz w:val="24"/>
                <w:szCs w:val="24"/>
              </w:rPr>
              <w:t xml:space="preserve">Define MMI in the Opioid </w:t>
            </w:r>
            <w:proofErr w:type="gramStart"/>
            <w:r>
              <w:rPr>
                <w:rFonts w:ascii="Arial" w:hAnsi="Arial" w:cs="Arial"/>
                <w:sz w:val="24"/>
                <w:szCs w:val="24"/>
              </w:rPr>
              <w:t>Guidelines, and</w:t>
            </w:r>
            <w:proofErr w:type="gramEnd"/>
            <w:r>
              <w:rPr>
                <w:rFonts w:ascii="Arial" w:hAnsi="Arial" w:cs="Arial"/>
                <w:sz w:val="24"/>
                <w:szCs w:val="24"/>
              </w:rPr>
              <w:t xml:space="preserve"> require UR/IMR to take into account the factors of permanent disability found by the WCAB ALJ, and integrate that into factors for consideration of the need for Opiate medication, and the restrictions on use of </w:t>
            </w:r>
            <w:r>
              <w:rPr>
                <w:rFonts w:ascii="Arial" w:hAnsi="Arial" w:cs="Arial"/>
                <w:sz w:val="24"/>
                <w:szCs w:val="24"/>
              </w:rPr>
              <w:lastRenderedPageBreak/>
              <w:t>“improvement of functioning” if those factors are part of the justification for denying authorization for properly prescribed Opiate medication.</w:t>
            </w:r>
          </w:p>
          <w:p w14:paraId="2AE20E9C" w14:textId="77777777" w:rsidR="00CC1469" w:rsidRDefault="00CC1469" w:rsidP="00CC1469">
            <w:pPr>
              <w:numPr>
                <w:ilvl w:val="0"/>
                <w:numId w:val="22"/>
              </w:numPr>
              <w:rPr>
                <w:rFonts w:ascii="Arial" w:hAnsi="Arial" w:cs="Arial"/>
                <w:sz w:val="24"/>
                <w:szCs w:val="24"/>
              </w:rPr>
            </w:pPr>
            <w:r>
              <w:rPr>
                <w:rFonts w:ascii="Arial" w:hAnsi="Arial" w:cs="Arial"/>
                <w:sz w:val="24"/>
                <w:szCs w:val="24"/>
              </w:rPr>
              <w:t xml:space="preserve">In the even of a UR/IMR evaluation of a Legacy Patient with many years of opiate medication, require the claims administrator to submit, and the UR/IMR reviewer to review and comment upon </w:t>
            </w:r>
            <w:proofErr w:type="gramStart"/>
            <w:r>
              <w:rPr>
                <w:rFonts w:ascii="Arial" w:hAnsi="Arial" w:cs="Arial"/>
                <w:sz w:val="24"/>
                <w:szCs w:val="24"/>
              </w:rPr>
              <w:t>all of</w:t>
            </w:r>
            <w:proofErr w:type="gramEnd"/>
            <w:r>
              <w:rPr>
                <w:rFonts w:ascii="Arial" w:hAnsi="Arial" w:cs="Arial"/>
                <w:sz w:val="24"/>
                <w:szCs w:val="24"/>
              </w:rPr>
              <w:t xml:space="preserve"> the medical records pertaining to the injury, rather than just the last few months of treatment.  Currently, the</w:t>
            </w:r>
            <w:r w:rsidR="007634B0">
              <w:rPr>
                <w:rFonts w:ascii="Arial" w:hAnsi="Arial" w:cs="Arial"/>
                <w:sz w:val="24"/>
                <w:szCs w:val="24"/>
              </w:rPr>
              <w:t xml:space="preserve"> reviewer</w:t>
            </w:r>
            <w:r>
              <w:rPr>
                <w:rFonts w:ascii="Arial" w:hAnsi="Arial" w:cs="Arial"/>
                <w:sz w:val="24"/>
                <w:szCs w:val="24"/>
              </w:rPr>
              <w:t xml:space="preserve"> receive</w:t>
            </w:r>
            <w:r w:rsidR="007634B0">
              <w:rPr>
                <w:rFonts w:ascii="Arial" w:hAnsi="Arial" w:cs="Arial"/>
                <w:sz w:val="24"/>
                <w:szCs w:val="24"/>
              </w:rPr>
              <w:t>s</w:t>
            </w:r>
            <w:r>
              <w:rPr>
                <w:rFonts w:ascii="Arial" w:hAnsi="Arial" w:cs="Arial"/>
                <w:sz w:val="24"/>
                <w:szCs w:val="24"/>
              </w:rPr>
              <w:t xml:space="preserve"> </w:t>
            </w:r>
            <w:r w:rsidR="00AB5C4D">
              <w:rPr>
                <w:rFonts w:ascii="Arial" w:hAnsi="Arial" w:cs="Arial"/>
                <w:sz w:val="24"/>
                <w:szCs w:val="24"/>
              </w:rPr>
              <w:t>less than one year of medical records.</w:t>
            </w:r>
          </w:p>
          <w:p w14:paraId="3D5749D8" w14:textId="77777777" w:rsidR="001110E7" w:rsidRPr="00110CBA" w:rsidRDefault="001110E7" w:rsidP="00B316C5">
            <w:pPr>
              <w:rPr>
                <w:rFonts w:ascii="Arial" w:hAnsi="Arial" w:cs="Arial"/>
                <w:sz w:val="24"/>
                <w:szCs w:val="24"/>
              </w:rPr>
            </w:pPr>
          </w:p>
        </w:tc>
        <w:tc>
          <w:tcPr>
            <w:tcW w:w="2340" w:type="dxa"/>
          </w:tcPr>
          <w:p w14:paraId="58B8AEC5" w14:textId="77777777" w:rsidR="000E4D5F" w:rsidRPr="00110CBA" w:rsidRDefault="00110CBA" w:rsidP="00B318DB">
            <w:pPr>
              <w:rPr>
                <w:rFonts w:ascii="Arial" w:hAnsi="Arial" w:cs="Arial"/>
                <w:sz w:val="24"/>
                <w:szCs w:val="24"/>
              </w:rPr>
            </w:pPr>
            <w:r w:rsidRPr="00110CBA">
              <w:rPr>
                <w:rFonts w:ascii="Arial" w:hAnsi="Arial" w:cs="Arial"/>
                <w:sz w:val="24"/>
                <w:szCs w:val="24"/>
              </w:rPr>
              <w:lastRenderedPageBreak/>
              <w:t xml:space="preserve">Rene Thomas Folse, JD, </w:t>
            </w:r>
            <w:proofErr w:type="spellStart"/>
            <w:proofErr w:type="gramStart"/>
            <w:r w:rsidRPr="00110CBA">
              <w:rPr>
                <w:rFonts w:ascii="Arial" w:hAnsi="Arial" w:cs="Arial"/>
                <w:sz w:val="24"/>
                <w:szCs w:val="24"/>
              </w:rPr>
              <w:t>Ph.D</w:t>
            </w:r>
            <w:proofErr w:type="spellEnd"/>
            <w:proofErr w:type="gramEnd"/>
            <w:r w:rsidRPr="00110CBA">
              <w:rPr>
                <w:rFonts w:ascii="Arial" w:hAnsi="Arial" w:cs="Arial"/>
                <w:sz w:val="24"/>
                <w:szCs w:val="24"/>
              </w:rPr>
              <w:t>, Inc.</w:t>
            </w:r>
          </w:p>
          <w:p w14:paraId="4015AA76" w14:textId="77777777" w:rsidR="00110CBA" w:rsidRPr="00110CBA" w:rsidRDefault="00110CBA" w:rsidP="00B318DB">
            <w:pPr>
              <w:rPr>
                <w:rFonts w:ascii="Arial" w:hAnsi="Arial" w:cs="Arial"/>
                <w:sz w:val="24"/>
                <w:szCs w:val="24"/>
              </w:rPr>
            </w:pPr>
            <w:r w:rsidRPr="00110CBA">
              <w:rPr>
                <w:rFonts w:ascii="Arial" w:hAnsi="Arial" w:cs="Arial"/>
                <w:sz w:val="24"/>
                <w:szCs w:val="24"/>
              </w:rPr>
              <w:t>Licensed Psychologist and Attorney at Law</w:t>
            </w:r>
          </w:p>
          <w:p w14:paraId="1A39441D" w14:textId="77777777" w:rsidR="000E4D5F" w:rsidRPr="00110CBA" w:rsidRDefault="00110CBA" w:rsidP="00B318DB">
            <w:pPr>
              <w:rPr>
                <w:rFonts w:ascii="Arial" w:hAnsi="Arial" w:cs="Arial"/>
                <w:sz w:val="24"/>
                <w:szCs w:val="24"/>
              </w:rPr>
            </w:pPr>
            <w:r w:rsidRPr="00110CBA">
              <w:rPr>
                <w:rFonts w:ascii="Arial" w:hAnsi="Arial" w:cs="Arial"/>
                <w:sz w:val="24"/>
                <w:szCs w:val="24"/>
              </w:rPr>
              <w:t>January 23, 2024</w:t>
            </w:r>
          </w:p>
          <w:p w14:paraId="21F6DECF" w14:textId="77777777" w:rsidR="00110CBA" w:rsidRPr="00110CBA" w:rsidRDefault="000E4D5F" w:rsidP="00B318DB">
            <w:pPr>
              <w:rPr>
                <w:rFonts w:ascii="Arial" w:hAnsi="Arial" w:cs="Arial"/>
                <w:sz w:val="24"/>
                <w:szCs w:val="24"/>
              </w:rPr>
            </w:pPr>
            <w:r w:rsidRPr="00110CBA">
              <w:rPr>
                <w:rFonts w:ascii="Arial" w:hAnsi="Arial" w:cs="Arial"/>
                <w:sz w:val="24"/>
                <w:szCs w:val="24"/>
              </w:rPr>
              <w:t>Written Comment</w:t>
            </w:r>
          </w:p>
          <w:p w14:paraId="16CE6F9D" w14:textId="77777777" w:rsidR="00110CBA" w:rsidRPr="00110CBA" w:rsidRDefault="00110CBA" w:rsidP="00B318DB">
            <w:pPr>
              <w:rPr>
                <w:rFonts w:ascii="Arial" w:hAnsi="Arial" w:cs="Arial"/>
                <w:sz w:val="24"/>
                <w:szCs w:val="24"/>
              </w:rPr>
            </w:pPr>
            <w:r w:rsidRPr="00110CBA">
              <w:rPr>
                <w:rFonts w:ascii="Arial" w:hAnsi="Arial" w:cs="Arial"/>
                <w:sz w:val="24"/>
                <w:szCs w:val="24"/>
              </w:rPr>
              <w:t>January 26, 2024</w:t>
            </w:r>
          </w:p>
          <w:p w14:paraId="089C874C" w14:textId="77777777" w:rsidR="00110CBA" w:rsidRPr="00110CBA" w:rsidRDefault="00110CBA" w:rsidP="00B318DB">
            <w:pPr>
              <w:rPr>
                <w:rFonts w:ascii="Arial" w:hAnsi="Arial" w:cs="Arial"/>
                <w:sz w:val="24"/>
                <w:szCs w:val="24"/>
              </w:rPr>
            </w:pPr>
            <w:r w:rsidRPr="00110CBA">
              <w:rPr>
                <w:rFonts w:ascii="Arial" w:hAnsi="Arial" w:cs="Arial"/>
                <w:sz w:val="24"/>
                <w:szCs w:val="24"/>
              </w:rPr>
              <w:t>Oral Comment</w:t>
            </w:r>
          </w:p>
        </w:tc>
        <w:tc>
          <w:tcPr>
            <w:tcW w:w="3240" w:type="dxa"/>
          </w:tcPr>
          <w:p w14:paraId="77FF16FE" w14:textId="77777777" w:rsidR="00110CBA" w:rsidRPr="00110CBA" w:rsidRDefault="00110CBA" w:rsidP="00110CBA">
            <w:pPr>
              <w:rPr>
                <w:rFonts w:ascii="Arial" w:hAnsi="Arial" w:cs="Arial"/>
                <w:sz w:val="24"/>
                <w:szCs w:val="24"/>
              </w:rPr>
            </w:pPr>
            <w:r w:rsidRPr="00110CBA">
              <w:rPr>
                <w:rFonts w:ascii="Arial" w:hAnsi="Arial" w:cs="Arial"/>
                <w:sz w:val="24"/>
                <w:szCs w:val="24"/>
              </w:rPr>
              <w:t xml:space="preserve">Disagree.  The comment exceeds the scope of this rulemaking.  Labor Code section 5307.27 provides for the adoption of a MTUS that shall incorporate evidence-based, peer-reviewed and nationally recognized standards of care recommended by the commission pursuant to Section 77.5, and which addresses, at a minimum, the frequency, duration, intensity, and appropriateness of all </w:t>
            </w:r>
            <w:r w:rsidRPr="00110CBA">
              <w:rPr>
                <w:rFonts w:ascii="Arial" w:hAnsi="Arial" w:cs="Arial"/>
                <w:sz w:val="24"/>
                <w:szCs w:val="24"/>
              </w:rPr>
              <w:lastRenderedPageBreak/>
              <w:t xml:space="preserve">treatment procedures and modalities </w:t>
            </w:r>
            <w:r w:rsidRPr="007634B0">
              <w:rPr>
                <w:rFonts w:ascii="Arial" w:hAnsi="Arial" w:cs="Arial"/>
                <w:b/>
                <w:sz w:val="24"/>
                <w:szCs w:val="24"/>
              </w:rPr>
              <w:t>commonly</w:t>
            </w:r>
            <w:r w:rsidRPr="00110CBA">
              <w:rPr>
                <w:rFonts w:ascii="Arial" w:hAnsi="Arial" w:cs="Arial"/>
                <w:sz w:val="24"/>
                <w:szCs w:val="24"/>
              </w:rPr>
              <w:t xml:space="preserve"> performed in workers’ compensation cases. </w:t>
            </w:r>
          </w:p>
          <w:p w14:paraId="10220ACF" w14:textId="77777777" w:rsidR="00110CBA" w:rsidRPr="00110CBA" w:rsidRDefault="00110CBA" w:rsidP="00110CBA">
            <w:pPr>
              <w:rPr>
                <w:rFonts w:ascii="Arial" w:hAnsi="Arial" w:cs="Arial"/>
                <w:sz w:val="24"/>
                <w:szCs w:val="24"/>
              </w:rPr>
            </w:pPr>
          </w:p>
          <w:p w14:paraId="0505567C" w14:textId="77777777" w:rsidR="00110CBA" w:rsidRPr="00110CBA" w:rsidRDefault="00110CBA" w:rsidP="00110CBA">
            <w:pPr>
              <w:rPr>
                <w:rFonts w:ascii="Arial" w:hAnsi="Arial" w:cs="Arial"/>
                <w:sz w:val="24"/>
                <w:szCs w:val="24"/>
              </w:rPr>
            </w:pPr>
            <w:r w:rsidRPr="00110CBA">
              <w:rPr>
                <w:rFonts w:ascii="Arial" w:hAnsi="Arial" w:cs="Arial"/>
                <w:sz w:val="24"/>
                <w:szCs w:val="24"/>
              </w:rPr>
              <w:t xml:space="preserve">While </w:t>
            </w:r>
            <w:r w:rsidRPr="005F3050">
              <w:rPr>
                <w:rFonts w:ascii="Arial" w:hAnsi="Arial" w:cs="Arial"/>
                <w:sz w:val="24"/>
                <w:szCs w:val="24"/>
              </w:rPr>
              <w:t xml:space="preserve">the </w:t>
            </w:r>
            <w:r w:rsidR="008B26AF" w:rsidRPr="005F3050">
              <w:rPr>
                <w:rFonts w:ascii="Arial" w:hAnsi="Arial" w:cs="Arial"/>
                <w:sz w:val="24"/>
                <w:szCs w:val="24"/>
              </w:rPr>
              <w:t>recommended guidelines set forth in the MTUS are presumptively correct</w:t>
            </w:r>
            <w:r w:rsidR="008B26AF">
              <w:rPr>
                <w:rFonts w:ascii="Arial" w:hAnsi="Arial" w:cs="Arial"/>
                <w:sz w:val="24"/>
                <w:szCs w:val="24"/>
              </w:rPr>
              <w:t xml:space="preserve"> </w:t>
            </w:r>
            <w:r w:rsidRPr="00110CBA">
              <w:rPr>
                <w:rFonts w:ascii="Arial" w:hAnsi="Arial" w:cs="Arial"/>
                <w:sz w:val="24"/>
                <w:szCs w:val="24"/>
              </w:rPr>
              <w:t xml:space="preserve">on the issue of extent and scope of medical treatment, treatment shall not be denied on the sole basis that the condition or injury is not addressed by the MTUS.  There are two exceptions to the </w:t>
            </w:r>
            <w:proofErr w:type="gramStart"/>
            <w:r w:rsidRPr="00110CBA">
              <w:rPr>
                <w:rFonts w:ascii="Arial" w:hAnsi="Arial" w:cs="Arial"/>
                <w:sz w:val="24"/>
                <w:szCs w:val="24"/>
              </w:rPr>
              <w:t>MTUS</w:t>
            </w:r>
            <w:proofErr w:type="gramEnd"/>
            <w:r w:rsidRPr="00110CBA">
              <w:rPr>
                <w:rFonts w:ascii="Arial" w:hAnsi="Arial" w:cs="Arial"/>
                <w:sz w:val="24"/>
                <w:szCs w:val="24"/>
              </w:rPr>
              <w:t xml:space="preserve"> and these can be found in title 8 California Code of Regulations section 9792.21(d). The first exception addresses when the MTUS does not cover a condition and the second exception addresses how to overcome the MTUS presumption when there is other scientific medical evidence to support a variance from the schedule. These exception</w:t>
            </w:r>
            <w:r w:rsidR="00DB0183" w:rsidRPr="005F3050">
              <w:rPr>
                <w:rFonts w:ascii="Arial" w:hAnsi="Arial" w:cs="Arial"/>
                <w:sz w:val="24"/>
                <w:szCs w:val="24"/>
              </w:rPr>
              <w:t>s</w:t>
            </w:r>
            <w:r w:rsidRPr="00110CBA">
              <w:rPr>
                <w:rFonts w:ascii="Arial" w:hAnsi="Arial" w:cs="Arial"/>
                <w:sz w:val="24"/>
                <w:szCs w:val="24"/>
              </w:rPr>
              <w:t xml:space="preserve"> may </w:t>
            </w:r>
            <w:r w:rsidRPr="00110CBA">
              <w:rPr>
                <w:rFonts w:ascii="Arial" w:hAnsi="Arial" w:cs="Arial"/>
                <w:sz w:val="24"/>
                <w:szCs w:val="24"/>
              </w:rPr>
              <w:lastRenderedPageBreak/>
              <w:t xml:space="preserve">apply to the cases you mention. </w:t>
            </w:r>
          </w:p>
          <w:p w14:paraId="38D377C3" w14:textId="77777777" w:rsidR="00110CBA" w:rsidRPr="00110CBA" w:rsidRDefault="00110CBA" w:rsidP="00110CBA">
            <w:pPr>
              <w:rPr>
                <w:rFonts w:ascii="Arial" w:hAnsi="Arial" w:cs="Arial"/>
                <w:sz w:val="24"/>
                <w:szCs w:val="24"/>
              </w:rPr>
            </w:pPr>
          </w:p>
          <w:p w14:paraId="23A64DD5" w14:textId="77777777" w:rsidR="00110CBA" w:rsidRPr="00110CBA" w:rsidRDefault="00110CBA" w:rsidP="00110CBA">
            <w:pPr>
              <w:rPr>
                <w:rFonts w:ascii="Arial" w:hAnsi="Arial" w:cs="Arial"/>
                <w:sz w:val="24"/>
                <w:szCs w:val="24"/>
              </w:rPr>
            </w:pPr>
            <w:r w:rsidRPr="00110CBA">
              <w:rPr>
                <w:rFonts w:ascii="Arial" w:hAnsi="Arial" w:cs="Arial"/>
                <w:sz w:val="24"/>
                <w:szCs w:val="24"/>
              </w:rPr>
              <w:t xml:space="preserve">Please review title 8 California Code of Regulations sections 9792.21.11, 9792.25 and 9792.25.1 for more information on medical evidence search sequence, quality and strength of evidence and evaluating medical evidence. </w:t>
            </w:r>
            <w:r w:rsidR="007634B0">
              <w:rPr>
                <w:rFonts w:ascii="Arial" w:hAnsi="Arial" w:cs="Arial"/>
                <w:sz w:val="24"/>
                <w:szCs w:val="24"/>
              </w:rPr>
              <w:t xml:space="preserve">These sections are not the subject of this rulemaking. </w:t>
            </w:r>
          </w:p>
          <w:p w14:paraId="3E049DA0" w14:textId="77777777" w:rsidR="00110CBA" w:rsidRPr="00110CBA" w:rsidRDefault="00110CBA" w:rsidP="00110CBA">
            <w:pPr>
              <w:rPr>
                <w:rFonts w:ascii="Arial" w:hAnsi="Arial" w:cs="Arial"/>
                <w:sz w:val="24"/>
                <w:szCs w:val="24"/>
              </w:rPr>
            </w:pPr>
          </w:p>
          <w:p w14:paraId="521FD446" w14:textId="77777777" w:rsidR="00110CBA" w:rsidRPr="00110CBA" w:rsidRDefault="00110CBA" w:rsidP="00110CBA">
            <w:pPr>
              <w:rPr>
                <w:rFonts w:ascii="Arial" w:hAnsi="Arial" w:cs="Arial"/>
                <w:sz w:val="24"/>
                <w:szCs w:val="24"/>
              </w:rPr>
            </w:pPr>
            <w:r w:rsidRPr="00110CBA">
              <w:rPr>
                <w:rFonts w:ascii="Arial" w:hAnsi="Arial" w:cs="Arial"/>
                <w:sz w:val="24"/>
                <w:szCs w:val="24"/>
              </w:rPr>
              <w:t>A dispute with regards to an IMR</w:t>
            </w:r>
            <w:r w:rsidR="007634B0">
              <w:rPr>
                <w:rFonts w:ascii="Arial" w:hAnsi="Arial" w:cs="Arial"/>
                <w:sz w:val="24"/>
                <w:szCs w:val="24"/>
              </w:rPr>
              <w:t xml:space="preserve"> or UR</w:t>
            </w:r>
            <w:r w:rsidRPr="00110CBA">
              <w:rPr>
                <w:rFonts w:ascii="Arial" w:hAnsi="Arial" w:cs="Arial"/>
                <w:sz w:val="24"/>
                <w:szCs w:val="24"/>
              </w:rPr>
              <w:t xml:space="preserve"> determination is not the subject of this rulemaking. </w:t>
            </w:r>
          </w:p>
          <w:p w14:paraId="2A1F5068" w14:textId="77777777" w:rsidR="00110CBA" w:rsidRPr="00110CBA" w:rsidRDefault="00110CBA" w:rsidP="00110CBA">
            <w:pPr>
              <w:rPr>
                <w:rFonts w:ascii="Arial" w:hAnsi="Arial" w:cs="Arial"/>
                <w:sz w:val="24"/>
                <w:szCs w:val="24"/>
              </w:rPr>
            </w:pPr>
          </w:p>
          <w:p w14:paraId="0E5C6A7E" w14:textId="77777777" w:rsidR="00110CBA" w:rsidRPr="00110CBA" w:rsidRDefault="00110CBA" w:rsidP="00110CBA">
            <w:pPr>
              <w:rPr>
                <w:rFonts w:ascii="Arial" w:hAnsi="Arial" w:cs="Arial"/>
                <w:sz w:val="24"/>
                <w:szCs w:val="24"/>
              </w:rPr>
            </w:pPr>
            <w:r w:rsidRPr="00110CBA">
              <w:rPr>
                <w:rFonts w:ascii="Arial" w:hAnsi="Arial" w:cs="Arial"/>
                <w:sz w:val="24"/>
                <w:szCs w:val="24"/>
              </w:rPr>
              <w:t xml:space="preserve">The Medical Board of California Guidelines for Prescribing Controlled Substances for Pain closely follows the ACOEM guideline.  The Medical Board of California Guidelines for Prescribing Controlled Substances for Pain on page 24 provides </w:t>
            </w:r>
            <w:r w:rsidRPr="00110CBA">
              <w:rPr>
                <w:rFonts w:ascii="Arial" w:hAnsi="Arial" w:cs="Arial"/>
                <w:sz w:val="24"/>
                <w:szCs w:val="24"/>
              </w:rPr>
              <w:lastRenderedPageBreak/>
              <w:t xml:space="preserve">how the physician </w:t>
            </w:r>
            <w:r w:rsidR="007634B0">
              <w:rPr>
                <w:rFonts w:ascii="Arial" w:hAnsi="Arial" w:cs="Arial"/>
                <w:sz w:val="24"/>
                <w:szCs w:val="24"/>
              </w:rPr>
              <w:t>shall utilize</w:t>
            </w:r>
            <w:r w:rsidRPr="00110CBA">
              <w:rPr>
                <w:rFonts w:ascii="Arial" w:hAnsi="Arial" w:cs="Arial"/>
                <w:sz w:val="24"/>
                <w:szCs w:val="24"/>
              </w:rPr>
              <w:t xml:space="preserve"> both the California Workers’ Compensation MTUS and the Medical Board of California Guidelines for Prescribing Contro</w:t>
            </w:r>
            <w:r w:rsidR="007634B0">
              <w:rPr>
                <w:rFonts w:ascii="Arial" w:hAnsi="Arial" w:cs="Arial"/>
                <w:sz w:val="24"/>
                <w:szCs w:val="24"/>
              </w:rPr>
              <w:t>lled Substances for Pain</w:t>
            </w:r>
            <w:r w:rsidRPr="00110CBA">
              <w:rPr>
                <w:rFonts w:ascii="Arial" w:hAnsi="Arial" w:cs="Arial"/>
                <w:sz w:val="24"/>
                <w:szCs w:val="24"/>
              </w:rPr>
              <w:t xml:space="preserve">. </w:t>
            </w:r>
          </w:p>
          <w:p w14:paraId="0A6E2CE8" w14:textId="77777777" w:rsidR="00110CBA" w:rsidRPr="00110CBA" w:rsidRDefault="00110CBA" w:rsidP="00110CBA">
            <w:pPr>
              <w:rPr>
                <w:rFonts w:ascii="Arial" w:hAnsi="Arial" w:cs="Arial"/>
                <w:sz w:val="24"/>
                <w:szCs w:val="24"/>
              </w:rPr>
            </w:pPr>
          </w:p>
          <w:p w14:paraId="3FBD7E8C" w14:textId="77777777" w:rsidR="00110CBA" w:rsidRPr="005F3050" w:rsidRDefault="00110CBA" w:rsidP="00110CBA">
            <w:pPr>
              <w:rPr>
                <w:rFonts w:ascii="Arial" w:hAnsi="Arial" w:cs="Arial"/>
                <w:sz w:val="24"/>
                <w:szCs w:val="24"/>
              </w:rPr>
            </w:pPr>
            <w:r w:rsidRPr="00110CBA">
              <w:rPr>
                <w:rFonts w:ascii="Arial" w:hAnsi="Arial" w:cs="Arial"/>
                <w:sz w:val="24"/>
                <w:szCs w:val="24"/>
              </w:rPr>
              <w:t xml:space="preserve">A physician’s requirement to consider the Pain Patient Bill of Rights is consistent with consideration of best evidence-based practice which is what is considered in this MTUS adoption. </w:t>
            </w:r>
            <w:r w:rsidR="00DB0183">
              <w:rPr>
                <w:rFonts w:ascii="Arial" w:hAnsi="Arial" w:cs="Arial"/>
                <w:sz w:val="24"/>
                <w:szCs w:val="24"/>
              </w:rPr>
              <w:t xml:space="preserve"> </w:t>
            </w:r>
            <w:r w:rsidR="00DB0183" w:rsidRPr="005F3050">
              <w:rPr>
                <w:rFonts w:ascii="Arial" w:hAnsi="Arial" w:cs="Arial"/>
                <w:sz w:val="24"/>
                <w:szCs w:val="24"/>
              </w:rPr>
              <w:t>Treating physicians are encouraged to reference any documentation supporting their desired treatment plan and to provide corresponding clinical findings.</w:t>
            </w:r>
          </w:p>
          <w:p w14:paraId="63AC9886" w14:textId="77777777" w:rsidR="00110CBA" w:rsidRPr="00110CBA" w:rsidRDefault="00110CBA" w:rsidP="00110CBA">
            <w:pPr>
              <w:rPr>
                <w:rFonts w:ascii="Arial" w:hAnsi="Arial" w:cs="Arial"/>
                <w:sz w:val="24"/>
                <w:szCs w:val="24"/>
              </w:rPr>
            </w:pPr>
          </w:p>
          <w:p w14:paraId="6F643A72" w14:textId="77777777" w:rsidR="00110CBA" w:rsidRPr="00110CBA" w:rsidRDefault="00110CBA" w:rsidP="00110CBA">
            <w:pPr>
              <w:rPr>
                <w:rFonts w:ascii="Arial" w:hAnsi="Arial" w:cs="Arial"/>
                <w:sz w:val="24"/>
                <w:szCs w:val="24"/>
              </w:rPr>
            </w:pPr>
            <w:r w:rsidRPr="00110CBA">
              <w:rPr>
                <w:rFonts w:ascii="Arial" w:hAnsi="Arial" w:cs="Arial"/>
                <w:sz w:val="24"/>
                <w:szCs w:val="24"/>
              </w:rPr>
              <w:t xml:space="preserve">The DWC is adopting the ACOEM Opioids Guideline which became effective December 12, 2023.  The DWC works with ACOEM to adopt the most up to date </w:t>
            </w:r>
            <w:r w:rsidR="00DB0183" w:rsidRPr="00110CBA">
              <w:rPr>
                <w:rFonts w:ascii="Arial" w:hAnsi="Arial" w:cs="Arial"/>
                <w:sz w:val="24"/>
                <w:szCs w:val="24"/>
              </w:rPr>
              <w:t>evidence</w:t>
            </w:r>
            <w:r w:rsidR="00DB0183" w:rsidRPr="00DB0183">
              <w:rPr>
                <w:rFonts w:ascii="Arial" w:hAnsi="Arial" w:cs="Arial"/>
                <w:sz w:val="24"/>
                <w:szCs w:val="24"/>
                <w:u w:val="single"/>
              </w:rPr>
              <w:t>-</w:t>
            </w:r>
            <w:r w:rsidR="00DB0183" w:rsidRPr="00110CBA">
              <w:rPr>
                <w:rFonts w:ascii="Arial" w:hAnsi="Arial" w:cs="Arial"/>
                <w:sz w:val="24"/>
                <w:szCs w:val="24"/>
              </w:rPr>
              <w:t>based</w:t>
            </w:r>
            <w:r w:rsidRPr="00110CBA">
              <w:rPr>
                <w:rFonts w:ascii="Arial" w:hAnsi="Arial" w:cs="Arial"/>
                <w:sz w:val="24"/>
                <w:szCs w:val="24"/>
              </w:rPr>
              <w:t xml:space="preserve"> </w:t>
            </w:r>
            <w:r w:rsidRPr="00110CBA">
              <w:rPr>
                <w:rFonts w:ascii="Arial" w:hAnsi="Arial" w:cs="Arial"/>
                <w:sz w:val="24"/>
                <w:szCs w:val="24"/>
              </w:rPr>
              <w:lastRenderedPageBreak/>
              <w:t xml:space="preserve">recommendations for treatment procedures and modalities </w:t>
            </w:r>
            <w:r w:rsidRPr="007634B0">
              <w:rPr>
                <w:rFonts w:ascii="Arial" w:hAnsi="Arial" w:cs="Arial"/>
                <w:b/>
                <w:sz w:val="24"/>
                <w:szCs w:val="24"/>
              </w:rPr>
              <w:t xml:space="preserve">commonly </w:t>
            </w:r>
            <w:r w:rsidRPr="00110CBA">
              <w:rPr>
                <w:rFonts w:ascii="Arial" w:hAnsi="Arial" w:cs="Arial"/>
                <w:sz w:val="24"/>
                <w:szCs w:val="24"/>
              </w:rPr>
              <w:t xml:space="preserve">performed in workers’ compensation cases. </w:t>
            </w:r>
          </w:p>
          <w:p w14:paraId="73232B96" w14:textId="77777777" w:rsidR="00110CBA" w:rsidRPr="00110CBA" w:rsidRDefault="00110CBA" w:rsidP="00110CBA">
            <w:pPr>
              <w:rPr>
                <w:rFonts w:ascii="Arial" w:hAnsi="Arial" w:cs="Arial"/>
                <w:sz w:val="24"/>
                <w:szCs w:val="24"/>
              </w:rPr>
            </w:pPr>
          </w:p>
          <w:p w14:paraId="274C0338" w14:textId="77777777" w:rsidR="00110CBA" w:rsidRPr="00110CBA" w:rsidRDefault="00110CBA" w:rsidP="00110CBA">
            <w:pPr>
              <w:rPr>
                <w:rFonts w:ascii="Arial" w:hAnsi="Arial" w:cs="Arial"/>
                <w:sz w:val="24"/>
                <w:szCs w:val="24"/>
              </w:rPr>
            </w:pPr>
            <w:r w:rsidRPr="00110CBA">
              <w:rPr>
                <w:rFonts w:ascii="Arial" w:hAnsi="Arial" w:cs="Arial"/>
                <w:sz w:val="24"/>
                <w:szCs w:val="24"/>
              </w:rPr>
              <w:t>Commenter is encouraged to submit any studies to ACOEM through the following web address:</w:t>
            </w:r>
          </w:p>
          <w:p w14:paraId="2A243A36" w14:textId="77777777" w:rsidR="00110CBA" w:rsidRPr="00110CBA" w:rsidRDefault="00110CBA" w:rsidP="00110CBA">
            <w:pPr>
              <w:rPr>
                <w:rFonts w:ascii="Arial" w:hAnsi="Arial" w:cs="Arial"/>
                <w:sz w:val="24"/>
                <w:szCs w:val="24"/>
              </w:rPr>
            </w:pPr>
          </w:p>
          <w:p w14:paraId="4AD9EC4E" w14:textId="77777777" w:rsidR="00110CBA" w:rsidRPr="00110CBA" w:rsidRDefault="00110CBA" w:rsidP="00110CBA">
            <w:pPr>
              <w:rPr>
                <w:rFonts w:ascii="Arial" w:hAnsi="Arial" w:cs="Arial"/>
                <w:sz w:val="24"/>
                <w:szCs w:val="24"/>
              </w:rPr>
            </w:pPr>
            <w:hyperlink r:id="rId11" w:history="1">
              <w:r w:rsidRPr="00110CBA">
                <w:rPr>
                  <w:rStyle w:val="Hyperlink"/>
                  <w:rFonts w:ascii="Arial" w:hAnsi="Arial" w:cs="Arial"/>
                  <w:sz w:val="24"/>
                  <w:szCs w:val="24"/>
                </w:rPr>
                <w:t>https://acoem.org/Practice-Resources/Practice-Guidelines-Center</w:t>
              </w:r>
            </w:hyperlink>
          </w:p>
          <w:p w14:paraId="254B3924" w14:textId="77777777" w:rsidR="00110CBA" w:rsidRPr="00110CBA" w:rsidRDefault="00110CBA" w:rsidP="00110CBA">
            <w:pPr>
              <w:rPr>
                <w:rFonts w:ascii="Arial" w:hAnsi="Arial" w:cs="Arial"/>
                <w:sz w:val="24"/>
                <w:szCs w:val="24"/>
              </w:rPr>
            </w:pPr>
          </w:p>
          <w:p w14:paraId="51DBD485" w14:textId="77777777" w:rsidR="00110CBA" w:rsidRPr="00110CBA" w:rsidRDefault="00110CBA" w:rsidP="00110CBA">
            <w:pPr>
              <w:rPr>
                <w:rFonts w:ascii="Arial" w:hAnsi="Arial" w:cs="Arial"/>
                <w:sz w:val="24"/>
                <w:szCs w:val="24"/>
              </w:rPr>
            </w:pPr>
            <w:r w:rsidRPr="00110CBA">
              <w:rPr>
                <w:rFonts w:ascii="Arial" w:hAnsi="Arial" w:cs="Arial"/>
                <w:sz w:val="24"/>
                <w:szCs w:val="24"/>
              </w:rPr>
              <w:t xml:space="preserve">ACOEM conducts comprehensive updates to </w:t>
            </w:r>
            <w:proofErr w:type="gramStart"/>
            <w:r w:rsidRPr="00110CBA">
              <w:rPr>
                <w:rFonts w:ascii="Arial" w:hAnsi="Arial" w:cs="Arial"/>
                <w:sz w:val="24"/>
                <w:szCs w:val="24"/>
              </w:rPr>
              <w:t>all of</w:t>
            </w:r>
            <w:proofErr w:type="gramEnd"/>
            <w:r w:rsidRPr="00110CBA">
              <w:rPr>
                <w:rFonts w:ascii="Arial" w:hAnsi="Arial" w:cs="Arial"/>
                <w:sz w:val="24"/>
                <w:szCs w:val="24"/>
              </w:rPr>
              <w:t xml:space="preserve">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it may necessitate a </w:t>
            </w:r>
            <w:r w:rsidRPr="00110CBA">
              <w:rPr>
                <w:rFonts w:ascii="Arial" w:hAnsi="Arial" w:cs="Arial"/>
                <w:sz w:val="24"/>
                <w:szCs w:val="24"/>
              </w:rPr>
              <w:lastRenderedPageBreak/>
              <w:t>focused update to the ACEOM guideline.</w:t>
            </w:r>
          </w:p>
          <w:p w14:paraId="7974E63A" w14:textId="77777777" w:rsidR="00110CBA" w:rsidRPr="00110CBA" w:rsidRDefault="00110CBA" w:rsidP="00110CBA">
            <w:pPr>
              <w:rPr>
                <w:rFonts w:ascii="Arial" w:hAnsi="Arial" w:cs="Arial"/>
                <w:sz w:val="24"/>
                <w:szCs w:val="24"/>
              </w:rPr>
            </w:pPr>
          </w:p>
          <w:p w14:paraId="14B13F33" w14:textId="77777777" w:rsidR="00AF2AB1" w:rsidRPr="00110CBA" w:rsidRDefault="00AF2AB1" w:rsidP="006922D4">
            <w:pPr>
              <w:rPr>
                <w:rFonts w:ascii="Arial" w:hAnsi="Arial" w:cs="Arial"/>
                <w:sz w:val="24"/>
                <w:szCs w:val="24"/>
              </w:rPr>
            </w:pPr>
          </w:p>
        </w:tc>
        <w:tc>
          <w:tcPr>
            <w:tcW w:w="2325" w:type="dxa"/>
          </w:tcPr>
          <w:p w14:paraId="6ED25261" w14:textId="77777777" w:rsidR="00841543" w:rsidRPr="00D27986" w:rsidRDefault="00E04CF9" w:rsidP="00B318DB">
            <w:pPr>
              <w:rPr>
                <w:sz w:val="24"/>
                <w:szCs w:val="24"/>
              </w:rPr>
            </w:pPr>
            <w:r>
              <w:rPr>
                <w:sz w:val="24"/>
                <w:szCs w:val="24"/>
              </w:rPr>
              <w:lastRenderedPageBreak/>
              <w:t>None</w:t>
            </w:r>
            <w:r w:rsidR="00E132D1">
              <w:rPr>
                <w:sz w:val="24"/>
                <w:szCs w:val="24"/>
              </w:rPr>
              <w:t>.</w:t>
            </w:r>
          </w:p>
        </w:tc>
      </w:tr>
      <w:tr w:rsidR="00110CBA" w:rsidRPr="00D27986" w14:paraId="4D2EED4C" w14:textId="77777777">
        <w:tblPrEx>
          <w:tblCellMar>
            <w:top w:w="0" w:type="dxa"/>
            <w:bottom w:w="0" w:type="dxa"/>
          </w:tblCellMar>
        </w:tblPrEx>
        <w:trPr>
          <w:trHeight w:val="100"/>
        </w:trPr>
        <w:tc>
          <w:tcPr>
            <w:tcW w:w="2088" w:type="dxa"/>
          </w:tcPr>
          <w:p w14:paraId="7F04ABB1" w14:textId="77777777" w:rsidR="00110CBA" w:rsidRPr="00643F54" w:rsidRDefault="00110CBA" w:rsidP="00B318DB">
            <w:pPr>
              <w:rPr>
                <w:rFonts w:ascii="Arial" w:hAnsi="Arial" w:cs="Arial"/>
                <w:sz w:val="24"/>
                <w:szCs w:val="24"/>
              </w:rPr>
            </w:pPr>
            <w:r w:rsidRPr="00643F54">
              <w:rPr>
                <w:rFonts w:ascii="Arial" w:hAnsi="Arial" w:cs="Arial"/>
                <w:sz w:val="24"/>
                <w:szCs w:val="24"/>
              </w:rPr>
              <w:lastRenderedPageBreak/>
              <w:t>General Comment</w:t>
            </w:r>
          </w:p>
        </w:tc>
        <w:tc>
          <w:tcPr>
            <w:tcW w:w="3960" w:type="dxa"/>
          </w:tcPr>
          <w:p w14:paraId="713BA99F" w14:textId="77777777" w:rsidR="00110CBA" w:rsidRPr="00643F54" w:rsidRDefault="003468AE" w:rsidP="000E4D5F">
            <w:pPr>
              <w:rPr>
                <w:rFonts w:ascii="Arial" w:hAnsi="Arial" w:cs="Arial"/>
                <w:sz w:val="24"/>
                <w:szCs w:val="24"/>
              </w:rPr>
            </w:pPr>
            <w:r w:rsidRPr="00643F54">
              <w:rPr>
                <w:rFonts w:ascii="Arial" w:hAnsi="Arial" w:cs="Arial"/>
                <w:sz w:val="24"/>
                <w:szCs w:val="24"/>
              </w:rPr>
              <w:t xml:space="preserve">Commenter notes that this proposed update does not specifically address Buprenorphine for chronic pain. </w:t>
            </w:r>
            <w:proofErr w:type="gramStart"/>
            <w:r w:rsidRPr="00643F54">
              <w:rPr>
                <w:rFonts w:ascii="Arial" w:hAnsi="Arial" w:cs="Arial"/>
                <w:sz w:val="24"/>
                <w:szCs w:val="24"/>
              </w:rPr>
              <w:t>Commenter</w:t>
            </w:r>
            <w:proofErr w:type="gramEnd"/>
            <w:r w:rsidRPr="00643F54">
              <w:rPr>
                <w:rFonts w:ascii="Arial" w:hAnsi="Arial" w:cs="Arial"/>
                <w:sz w:val="24"/>
                <w:szCs w:val="24"/>
              </w:rPr>
              <w:t xml:space="preserve"> states that the guideline does reference </w:t>
            </w:r>
            <w:r w:rsidR="005118B5" w:rsidRPr="00643F54">
              <w:rPr>
                <w:rFonts w:ascii="Arial" w:hAnsi="Arial" w:cs="Arial"/>
                <w:sz w:val="24"/>
                <w:szCs w:val="24"/>
              </w:rPr>
              <w:t>research that’s been done on Buprenorphine for pain, but the focus is on opioid dependency.</w:t>
            </w:r>
          </w:p>
          <w:p w14:paraId="18E73093" w14:textId="77777777" w:rsidR="005118B5" w:rsidRPr="00643F54" w:rsidRDefault="005118B5" w:rsidP="000E4D5F">
            <w:pPr>
              <w:rPr>
                <w:rFonts w:ascii="Arial" w:hAnsi="Arial" w:cs="Arial"/>
                <w:sz w:val="24"/>
                <w:szCs w:val="24"/>
              </w:rPr>
            </w:pPr>
          </w:p>
          <w:p w14:paraId="783F3BF5" w14:textId="77777777" w:rsidR="005118B5" w:rsidRPr="00643F54" w:rsidRDefault="005118B5" w:rsidP="000E4D5F">
            <w:pPr>
              <w:rPr>
                <w:rFonts w:ascii="Arial" w:hAnsi="Arial" w:cs="Arial"/>
                <w:sz w:val="24"/>
                <w:szCs w:val="24"/>
              </w:rPr>
            </w:pPr>
            <w:proofErr w:type="gramStart"/>
            <w:r w:rsidRPr="00643F54">
              <w:rPr>
                <w:rFonts w:ascii="Arial" w:hAnsi="Arial" w:cs="Arial"/>
                <w:sz w:val="24"/>
                <w:szCs w:val="24"/>
              </w:rPr>
              <w:lastRenderedPageBreak/>
              <w:t>Commenter</w:t>
            </w:r>
            <w:proofErr w:type="gramEnd"/>
            <w:r w:rsidRPr="00643F54">
              <w:rPr>
                <w:rFonts w:ascii="Arial" w:hAnsi="Arial" w:cs="Arial"/>
                <w:sz w:val="24"/>
                <w:szCs w:val="24"/>
              </w:rPr>
              <w:t xml:space="preserve"> notes that there is an increased interest in switching patients to Buprenorphine because it’s a class A, Schedule 2 to Schedule 3 opioid. Commenter would like to know if California will consider having a specific guideline for Buprenorphine for pain.</w:t>
            </w:r>
          </w:p>
        </w:tc>
        <w:tc>
          <w:tcPr>
            <w:tcW w:w="2340" w:type="dxa"/>
          </w:tcPr>
          <w:p w14:paraId="2CEC2DED" w14:textId="77777777" w:rsidR="00110CBA" w:rsidRPr="00643F54" w:rsidRDefault="00110CBA" w:rsidP="00B318DB">
            <w:pPr>
              <w:rPr>
                <w:rFonts w:ascii="Arial" w:hAnsi="Arial" w:cs="Arial"/>
                <w:sz w:val="24"/>
                <w:szCs w:val="24"/>
              </w:rPr>
            </w:pPr>
            <w:r w:rsidRPr="00643F54">
              <w:rPr>
                <w:rFonts w:ascii="Arial" w:hAnsi="Arial" w:cs="Arial"/>
                <w:sz w:val="24"/>
                <w:szCs w:val="24"/>
              </w:rPr>
              <w:lastRenderedPageBreak/>
              <w:t>Joyce Ho</w:t>
            </w:r>
          </w:p>
          <w:p w14:paraId="7BAAA3C0" w14:textId="77777777" w:rsidR="00110CBA" w:rsidRPr="00643F54" w:rsidRDefault="00110CBA" w:rsidP="00B318DB">
            <w:pPr>
              <w:rPr>
                <w:rFonts w:ascii="Arial" w:hAnsi="Arial" w:cs="Arial"/>
                <w:sz w:val="24"/>
                <w:szCs w:val="24"/>
              </w:rPr>
            </w:pPr>
            <w:r w:rsidRPr="00643F54">
              <w:rPr>
                <w:rFonts w:ascii="Arial" w:hAnsi="Arial" w:cs="Arial"/>
                <w:sz w:val="24"/>
                <w:szCs w:val="24"/>
              </w:rPr>
              <w:t xml:space="preserve">January 26, 2024 </w:t>
            </w:r>
          </w:p>
          <w:p w14:paraId="5C5907F7" w14:textId="77777777" w:rsidR="00110CBA" w:rsidRDefault="00110CBA" w:rsidP="00B318DB">
            <w:pPr>
              <w:rPr>
                <w:sz w:val="24"/>
                <w:szCs w:val="24"/>
              </w:rPr>
            </w:pPr>
            <w:r w:rsidRPr="00643F54">
              <w:rPr>
                <w:rFonts w:ascii="Arial" w:hAnsi="Arial" w:cs="Arial"/>
                <w:sz w:val="24"/>
                <w:szCs w:val="24"/>
              </w:rPr>
              <w:t>Oral Comment</w:t>
            </w:r>
          </w:p>
          <w:p w14:paraId="5E937B73" w14:textId="77777777" w:rsidR="00110CBA" w:rsidRDefault="00110CBA" w:rsidP="00B318DB">
            <w:pPr>
              <w:rPr>
                <w:sz w:val="24"/>
                <w:szCs w:val="24"/>
              </w:rPr>
            </w:pPr>
          </w:p>
        </w:tc>
        <w:tc>
          <w:tcPr>
            <w:tcW w:w="3240" w:type="dxa"/>
          </w:tcPr>
          <w:p w14:paraId="5AF3DA1F" w14:textId="77777777" w:rsidR="00110CBA" w:rsidRPr="00C62680" w:rsidRDefault="00110CBA" w:rsidP="00110CBA">
            <w:pPr>
              <w:rPr>
                <w:rFonts w:ascii="Arial" w:hAnsi="Arial" w:cs="Arial"/>
                <w:sz w:val="24"/>
                <w:szCs w:val="24"/>
              </w:rPr>
            </w:pPr>
            <w:r w:rsidRPr="00C62680">
              <w:rPr>
                <w:rFonts w:ascii="Arial" w:hAnsi="Arial" w:cs="Arial"/>
                <w:sz w:val="24"/>
                <w:szCs w:val="24"/>
              </w:rPr>
              <w:t>This comment exceeds the scope of this rulemaking</w:t>
            </w:r>
            <w:r w:rsidR="00250481">
              <w:rPr>
                <w:rFonts w:ascii="Arial" w:hAnsi="Arial" w:cs="Arial"/>
                <w:sz w:val="24"/>
                <w:szCs w:val="24"/>
              </w:rPr>
              <w:t xml:space="preserve"> </w:t>
            </w:r>
            <w:r w:rsidR="00250481" w:rsidRPr="005F3050">
              <w:rPr>
                <w:rFonts w:ascii="Arial" w:hAnsi="Arial" w:cs="Arial"/>
                <w:sz w:val="24"/>
                <w:szCs w:val="24"/>
              </w:rPr>
              <w:t>and the DWC does not plan to have a specific guideline for buprenorphine for pain</w:t>
            </w:r>
            <w:r w:rsidRPr="005F3050">
              <w:rPr>
                <w:rFonts w:ascii="Arial" w:hAnsi="Arial" w:cs="Arial"/>
                <w:sz w:val="24"/>
                <w:szCs w:val="24"/>
              </w:rPr>
              <w:t>.</w:t>
            </w:r>
            <w:r w:rsidRPr="00C62680">
              <w:rPr>
                <w:rFonts w:ascii="Arial" w:hAnsi="Arial" w:cs="Arial"/>
                <w:sz w:val="24"/>
                <w:szCs w:val="24"/>
              </w:rPr>
              <w:t xml:space="preserve"> </w:t>
            </w:r>
          </w:p>
          <w:p w14:paraId="5803ADF4" w14:textId="77777777" w:rsidR="00110CBA" w:rsidRPr="00C62680" w:rsidRDefault="00110CBA" w:rsidP="00110CBA">
            <w:pPr>
              <w:rPr>
                <w:rFonts w:ascii="Arial" w:hAnsi="Arial" w:cs="Arial"/>
                <w:sz w:val="24"/>
                <w:szCs w:val="24"/>
              </w:rPr>
            </w:pPr>
            <w:r w:rsidRPr="00C62680">
              <w:rPr>
                <w:rFonts w:ascii="Arial" w:hAnsi="Arial" w:cs="Arial"/>
                <w:sz w:val="24"/>
                <w:szCs w:val="24"/>
              </w:rPr>
              <w:t xml:space="preserve">Commenter is encouraged to submit </w:t>
            </w:r>
            <w:r w:rsidR="00250481" w:rsidRPr="005F3050">
              <w:rPr>
                <w:rFonts w:ascii="Arial" w:hAnsi="Arial" w:cs="Arial"/>
                <w:sz w:val="24"/>
                <w:szCs w:val="24"/>
              </w:rPr>
              <w:t xml:space="preserve">their comment and </w:t>
            </w:r>
            <w:r w:rsidRPr="00C62680">
              <w:rPr>
                <w:rFonts w:ascii="Arial" w:hAnsi="Arial" w:cs="Arial"/>
                <w:sz w:val="24"/>
                <w:szCs w:val="24"/>
              </w:rPr>
              <w:t xml:space="preserve">any studies to ACOEM </w:t>
            </w:r>
            <w:r w:rsidRPr="00C62680">
              <w:rPr>
                <w:rFonts w:ascii="Arial" w:hAnsi="Arial" w:cs="Arial"/>
                <w:sz w:val="24"/>
                <w:szCs w:val="24"/>
              </w:rPr>
              <w:lastRenderedPageBreak/>
              <w:t>through the following web address:</w:t>
            </w:r>
          </w:p>
          <w:p w14:paraId="2035498D" w14:textId="77777777" w:rsidR="00110CBA" w:rsidRPr="00C62680" w:rsidRDefault="00110CBA" w:rsidP="00110CBA">
            <w:pPr>
              <w:rPr>
                <w:rFonts w:ascii="Arial" w:hAnsi="Arial" w:cs="Arial"/>
                <w:sz w:val="24"/>
                <w:szCs w:val="24"/>
              </w:rPr>
            </w:pPr>
          </w:p>
          <w:p w14:paraId="37536CE2" w14:textId="77777777" w:rsidR="00110CBA" w:rsidRPr="00C62680" w:rsidRDefault="00110CBA" w:rsidP="00110CBA">
            <w:pPr>
              <w:rPr>
                <w:rFonts w:ascii="Arial" w:hAnsi="Arial" w:cs="Arial"/>
                <w:sz w:val="24"/>
                <w:szCs w:val="24"/>
              </w:rPr>
            </w:pPr>
            <w:hyperlink r:id="rId12" w:history="1">
              <w:r w:rsidRPr="00C62680">
                <w:rPr>
                  <w:rStyle w:val="Hyperlink"/>
                  <w:rFonts w:ascii="Arial" w:hAnsi="Arial" w:cs="Arial"/>
                  <w:sz w:val="24"/>
                  <w:szCs w:val="24"/>
                </w:rPr>
                <w:t>https://acoem.org/Practice-Resources/Practice-Guidelines-Center</w:t>
              </w:r>
            </w:hyperlink>
          </w:p>
          <w:p w14:paraId="1684D898" w14:textId="77777777" w:rsidR="00110CBA" w:rsidRPr="00C62680" w:rsidRDefault="00110CBA" w:rsidP="00110CBA">
            <w:pPr>
              <w:rPr>
                <w:rFonts w:ascii="Arial" w:hAnsi="Arial" w:cs="Arial"/>
                <w:sz w:val="24"/>
                <w:szCs w:val="24"/>
              </w:rPr>
            </w:pPr>
          </w:p>
          <w:p w14:paraId="0176056E" w14:textId="77777777" w:rsidR="00110CBA" w:rsidRPr="00110CBA" w:rsidRDefault="00110CBA" w:rsidP="006922D4">
            <w:pPr>
              <w:rPr>
                <w:rFonts w:ascii="Arial" w:hAnsi="Arial" w:cs="Arial"/>
                <w:sz w:val="24"/>
                <w:szCs w:val="24"/>
              </w:rPr>
            </w:pPr>
            <w:r w:rsidRPr="00C62680">
              <w:rPr>
                <w:rFonts w:ascii="Arial" w:hAnsi="Arial" w:cs="Arial"/>
                <w:sz w:val="24"/>
                <w:szCs w:val="24"/>
              </w:rPr>
              <w:t xml:space="preserve">ACOEM conducts comprehensive updates to </w:t>
            </w:r>
            <w:proofErr w:type="gramStart"/>
            <w:r w:rsidRPr="00C62680">
              <w:rPr>
                <w:rFonts w:ascii="Arial" w:hAnsi="Arial" w:cs="Arial"/>
                <w:sz w:val="24"/>
                <w:szCs w:val="24"/>
              </w:rPr>
              <w:t>all of</w:t>
            </w:r>
            <w:proofErr w:type="gramEnd"/>
            <w:r w:rsidRPr="00C62680">
              <w:rPr>
                <w:rFonts w:ascii="Arial" w:hAnsi="Arial" w:cs="Arial"/>
                <w:sz w:val="24"/>
                <w:szCs w:val="24"/>
              </w:rPr>
              <w:t xml:space="preserve">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it may necessitate a focused update to the AC</w:t>
            </w:r>
            <w:r w:rsidR="00250481">
              <w:rPr>
                <w:rFonts w:ascii="Arial" w:hAnsi="Arial" w:cs="Arial"/>
                <w:sz w:val="24"/>
                <w:szCs w:val="24"/>
              </w:rPr>
              <w:t>OE</w:t>
            </w:r>
            <w:r w:rsidRPr="00C62680">
              <w:rPr>
                <w:rFonts w:ascii="Arial" w:hAnsi="Arial" w:cs="Arial"/>
                <w:sz w:val="24"/>
                <w:szCs w:val="24"/>
              </w:rPr>
              <w:t>M guideline.</w:t>
            </w:r>
          </w:p>
        </w:tc>
        <w:tc>
          <w:tcPr>
            <w:tcW w:w="2325" w:type="dxa"/>
          </w:tcPr>
          <w:p w14:paraId="27BB0802" w14:textId="77777777" w:rsidR="00110CBA" w:rsidRDefault="00110CBA" w:rsidP="00B318DB">
            <w:pPr>
              <w:rPr>
                <w:sz w:val="24"/>
                <w:szCs w:val="24"/>
              </w:rPr>
            </w:pPr>
          </w:p>
        </w:tc>
      </w:tr>
    </w:tbl>
    <w:p w14:paraId="1C526746" w14:textId="77777777" w:rsidR="000A60E1" w:rsidRPr="00D27986" w:rsidRDefault="000A60E1" w:rsidP="000A60E1">
      <w:pPr>
        <w:rPr>
          <w:sz w:val="24"/>
          <w:szCs w:val="24"/>
        </w:rPr>
      </w:pPr>
    </w:p>
    <w:p w14:paraId="20509E61" w14:textId="77777777" w:rsidR="000A60E1" w:rsidRPr="00D27986" w:rsidRDefault="000A60E1" w:rsidP="000A60E1">
      <w:pPr>
        <w:rPr>
          <w:sz w:val="24"/>
          <w:szCs w:val="24"/>
        </w:rPr>
      </w:pPr>
    </w:p>
    <w:p w14:paraId="4FD8C0AF" w14:textId="77777777" w:rsidR="000A60E1" w:rsidRPr="00D27986" w:rsidRDefault="000A60E1" w:rsidP="000A60E1">
      <w:pPr>
        <w:rPr>
          <w:sz w:val="24"/>
          <w:szCs w:val="24"/>
        </w:rPr>
      </w:pPr>
    </w:p>
    <w:p w14:paraId="4964E46C" w14:textId="77777777" w:rsidR="000A60E1" w:rsidRPr="00D27986" w:rsidRDefault="000A60E1" w:rsidP="000A60E1">
      <w:pPr>
        <w:rPr>
          <w:sz w:val="24"/>
          <w:szCs w:val="24"/>
        </w:rPr>
      </w:pPr>
    </w:p>
    <w:p w14:paraId="3E9BDDD3" w14:textId="77777777" w:rsidR="000A60E1" w:rsidRPr="00D27986" w:rsidRDefault="000A60E1" w:rsidP="000A60E1">
      <w:pPr>
        <w:rPr>
          <w:sz w:val="24"/>
          <w:szCs w:val="24"/>
        </w:rPr>
      </w:pPr>
    </w:p>
    <w:p w14:paraId="2F594AB3" w14:textId="77777777" w:rsidR="00A20565" w:rsidRPr="00D27986" w:rsidRDefault="00A20565" w:rsidP="000A60E1">
      <w:pPr>
        <w:rPr>
          <w:sz w:val="24"/>
          <w:szCs w:val="24"/>
        </w:rPr>
      </w:pPr>
    </w:p>
    <w:sectPr w:rsidR="00A20565" w:rsidRPr="00D27986" w:rsidSect="009A48A0">
      <w:footerReference w:type="default" r:id="rId1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1242" w14:textId="77777777" w:rsidR="00343E22" w:rsidRDefault="00343E22">
      <w:r>
        <w:separator/>
      </w:r>
    </w:p>
  </w:endnote>
  <w:endnote w:type="continuationSeparator" w:id="0">
    <w:p w14:paraId="28C3279E" w14:textId="77777777" w:rsidR="00343E22" w:rsidRDefault="0034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D5A3" w14:textId="77777777" w:rsidR="009D5B75" w:rsidRDefault="009D5B75" w:rsidP="00B36543">
    <w:pPr>
      <w:pStyle w:val="Footer"/>
      <w:jc w:val="right"/>
    </w:pPr>
    <w:r>
      <w:t xml:space="preserve">Page </w:t>
    </w:r>
    <w:r>
      <w:fldChar w:fldCharType="begin"/>
    </w:r>
    <w:r>
      <w:instrText xml:space="preserve"> PAGE </w:instrText>
    </w:r>
    <w:r>
      <w:fldChar w:fldCharType="separate"/>
    </w:r>
    <w:r w:rsidR="005F3050">
      <w:rPr>
        <w:noProof/>
      </w:rPr>
      <w:t>9</w:t>
    </w:r>
    <w:r>
      <w:fldChar w:fldCharType="end"/>
    </w:r>
    <w:r>
      <w:t xml:space="preserve"> of </w:t>
    </w:r>
    <w:fldSimple w:instr=" NUMPAGES ">
      <w:r w:rsidR="005F3050">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B9C6" w14:textId="77777777" w:rsidR="00343E22" w:rsidRDefault="00343E22">
      <w:r>
        <w:separator/>
      </w:r>
    </w:p>
  </w:footnote>
  <w:footnote w:type="continuationSeparator" w:id="0">
    <w:p w14:paraId="3DA5E0D9" w14:textId="77777777" w:rsidR="00343E22" w:rsidRDefault="00343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CB3B7"/>
    <w:multiLevelType w:val="hybridMultilevel"/>
    <w:tmpl w:val="6E7306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63315A"/>
    <w:multiLevelType w:val="hybridMultilevel"/>
    <w:tmpl w:val="06BC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06B6A"/>
    <w:multiLevelType w:val="hybridMultilevel"/>
    <w:tmpl w:val="4126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033AFE"/>
    <w:multiLevelType w:val="hybridMultilevel"/>
    <w:tmpl w:val="E476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F08A5E"/>
    <w:multiLevelType w:val="hybridMultilevel"/>
    <w:tmpl w:val="797A0B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DF1A74"/>
    <w:multiLevelType w:val="hybridMultilevel"/>
    <w:tmpl w:val="1D40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16BCB"/>
    <w:multiLevelType w:val="hybridMultilevel"/>
    <w:tmpl w:val="899E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272B51"/>
    <w:multiLevelType w:val="hybridMultilevel"/>
    <w:tmpl w:val="FF34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C6094"/>
    <w:multiLevelType w:val="hybridMultilevel"/>
    <w:tmpl w:val="5BE03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3BD3F"/>
    <w:multiLevelType w:val="hybridMultilevel"/>
    <w:tmpl w:val="362385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962796">
    <w:abstractNumId w:val="2"/>
  </w:num>
  <w:num w:numId="2" w16cid:durableId="442767681">
    <w:abstractNumId w:val="16"/>
  </w:num>
  <w:num w:numId="3" w16cid:durableId="2104064044">
    <w:abstractNumId w:val="1"/>
  </w:num>
  <w:num w:numId="4" w16cid:durableId="2051805896">
    <w:abstractNumId w:val="6"/>
  </w:num>
  <w:num w:numId="5" w16cid:durableId="1187593929">
    <w:abstractNumId w:val="18"/>
  </w:num>
  <w:num w:numId="6" w16cid:durableId="1894776992">
    <w:abstractNumId w:val="12"/>
  </w:num>
  <w:num w:numId="7" w16cid:durableId="744307102">
    <w:abstractNumId w:val="15"/>
  </w:num>
  <w:num w:numId="8" w16cid:durableId="806625285">
    <w:abstractNumId w:val="21"/>
  </w:num>
  <w:num w:numId="9" w16cid:durableId="283118216">
    <w:abstractNumId w:val="17"/>
  </w:num>
  <w:num w:numId="10" w16cid:durableId="652951206">
    <w:abstractNumId w:val="8"/>
  </w:num>
  <w:num w:numId="11" w16cid:durableId="664361621">
    <w:abstractNumId w:val="19"/>
  </w:num>
  <w:num w:numId="12" w16cid:durableId="1435900969">
    <w:abstractNumId w:val="4"/>
  </w:num>
  <w:num w:numId="13" w16cid:durableId="125124218">
    <w:abstractNumId w:val="14"/>
  </w:num>
  <w:num w:numId="14" w16cid:durableId="399982838">
    <w:abstractNumId w:val="3"/>
  </w:num>
  <w:num w:numId="15" w16cid:durableId="1317496731">
    <w:abstractNumId w:val="20"/>
  </w:num>
  <w:num w:numId="16" w16cid:durableId="91825313">
    <w:abstractNumId w:val="7"/>
  </w:num>
  <w:num w:numId="17" w16cid:durableId="1533881912">
    <w:abstractNumId w:val="9"/>
  </w:num>
  <w:num w:numId="18" w16cid:durableId="1419519678">
    <w:abstractNumId w:val="11"/>
  </w:num>
  <w:num w:numId="19" w16cid:durableId="2082170526">
    <w:abstractNumId w:val="0"/>
  </w:num>
  <w:num w:numId="20" w16cid:durableId="108207465">
    <w:abstractNumId w:val="10"/>
  </w:num>
  <w:num w:numId="21" w16cid:durableId="94788179">
    <w:abstractNumId w:val="13"/>
  </w:num>
  <w:num w:numId="22" w16cid:durableId="1922130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65"/>
    <w:rsid w:val="00000370"/>
    <w:rsid w:val="00002744"/>
    <w:rsid w:val="00004D9F"/>
    <w:rsid w:val="00005622"/>
    <w:rsid w:val="00006C02"/>
    <w:rsid w:val="000115C5"/>
    <w:rsid w:val="00020D77"/>
    <w:rsid w:val="00020F42"/>
    <w:rsid w:val="00021190"/>
    <w:rsid w:val="00021AF4"/>
    <w:rsid w:val="00023E9B"/>
    <w:rsid w:val="00026B11"/>
    <w:rsid w:val="00026DB9"/>
    <w:rsid w:val="0002796C"/>
    <w:rsid w:val="00027CAE"/>
    <w:rsid w:val="000302CB"/>
    <w:rsid w:val="00030488"/>
    <w:rsid w:val="00031DA6"/>
    <w:rsid w:val="0003481D"/>
    <w:rsid w:val="00037707"/>
    <w:rsid w:val="00037FCF"/>
    <w:rsid w:val="00046261"/>
    <w:rsid w:val="00051BD3"/>
    <w:rsid w:val="00052D0F"/>
    <w:rsid w:val="00053FA2"/>
    <w:rsid w:val="0006376D"/>
    <w:rsid w:val="000644E1"/>
    <w:rsid w:val="00064C06"/>
    <w:rsid w:val="0006500A"/>
    <w:rsid w:val="00065FDE"/>
    <w:rsid w:val="00070DD2"/>
    <w:rsid w:val="00071700"/>
    <w:rsid w:val="00072DCB"/>
    <w:rsid w:val="00073C7B"/>
    <w:rsid w:val="0007483E"/>
    <w:rsid w:val="0007793E"/>
    <w:rsid w:val="00077C0F"/>
    <w:rsid w:val="00085B61"/>
    <w:rsid w:val="0009000D"/>
    <w:rsid w:val="000921EE"/>
    <w:rsid w:val="00094D0C"/>
    <w:rsid w:val="000A0702"/>
    <w:rsid w:val="000A38EE"/>
    <w:rsid w:val="000A4034"/>
    <w:rsid w:val="000A60E1"/>
    <w:rsid w:val="000B1F1E"/>
    <w:rsid w:val="000B6695"/>
    <w:rsid w:val="000C50F7"/>
    <w:rsid w:val="000C79FE"/>
    <w:rsid w:val="000D169E"/>
    <w:rsid w:val="000D3E0C"/>
    <w:rsid w:val="000E2318"/>
    <w:rsid w:val="000E3124"/>
    <w:rsid w:val="000E4D5F"/>
    <w:rsid w:val="000E5432"/>
    <w:rsid w:val="000E5B03"/>
    <w:rsid w:val="000F0474"/>
    <w:rsid w:val="000F2477"/>
    <w:rsid w:val="00103A40"/>
    <w:rsid w:val="00105C7D"/>
    <w:rsid w:val="0010669C"/>
    <w:rsid w:val="0011032B"/>
    <w:rsid w:val="00110CBA"/>
    <w:rsid w:val="001110E7"/>
    <w:rsid w:val="001162E0"/>
    <w:rsid w:val="00122ED3"/>
    <w:rsid w:val="00123A88"/>
    <w:rsid w:val="00131FFC"/>
    <w:rsid w:val="00142FED"/>
    <w:rsid w:val="0014319E"/>
    <w:rsid w:val="00144E7E"/>
    <w:rsid w:val="00146329"/>
    <w:rsid w:val="00151E53"/>
    <w:rsid w:val="001538B5"/>
    <w:rsid w:val="00157798"/>
    <w:rsid w:val="00157974"/>
    <w:rsid w:val="00164340"/>
    <w:rsid w:val="00171522"/>
    <w:rsid w:val="001715F5"/>
    <w:rsid w:val="00173A47"/>
    <w:rsid w:val="001745D3"/>
    <w:rsid w:val="0018044C"/>
    <w:rsid w:val="00180538"/>
    <w:rsid w:val="00190583"/>
    <w:rsid w:val="00190769"/>
    <w:rsid w:val="001916EA"/>
    <w:rsid w:val="00191CDC"/>
    <w:rsid w:val="00192637"/>
    <w:rsid w:val="00192F3B"/>
    <w:rsid w:val="001975A8"/>
    <w:rsid w:val="001A0547"/>
    <w:rsid w:val="001A7F28"/>
    <w:rsid w:val="001B2250"/>
    <w:rsid w:val="001B59A7"/>
    <w:rsid w:val="001B7D84"/>
    <w:rsid w:val="001C1281"/>
    <w:rsid w:val="001C6BD2"/>
    <w:rsid w:val="001D3239"/>
    <w:rsid w:val="001E626D"/>
    <w:rsid w:val="001E6F12"/>
    <w:rsid w:val="001F0C19"/>
    <w:rsid w:val="001F1C34"/>
    <w:rsid w:val="001F6752"/>
    <w:rsid w:val="001F7C01"/>
    <w:rsid w:val="00206F39"/>
    <w:rsid w:val="002106BF"/>
    <w:rsid w:val="00220833"/>
    <w:rsid w:val="00220A5B"/>
    <w:rsid w:val="00221194"/>
    <w:rsid w:val="00227584"/>
    <w:rsid w:val="0023219C"/>
    <w:rsid w:val="00241A10"/>
    <w:rsid w:val="00243317"/>
    <w:rsid w:val="00250481"/>
    <w:rsid w:val="00251FD9"/>
    <w:rsid w:val="002524CB"/>
    <w:rsid w:val="002535D7"/>
    <w:rsid w:val="00257ED1"/>
    <w:rsid w:val="00261B4F"/>
    <w:rsid w:val="002645F7"/>
    <w:rsid w:val="002654EA"/>
    <w:rsid w:val="00265EE1"/>
    <w:rsid w:val="00270613"/>
    <w:rsid w:val="00271E80"/>
    <w:rsid w:val="0027416D"/>
    <w:rsid w:val="002765EF"/>
    <w:rsid w:val="002805AB"/>
    <w:rsid w:val="00281D6A"/>
    <w:rsid w:val="00286DD1"/>
    <w:rsid w:val="002875FC"/>
    <w:rsid w:val="00296485"/>
    <w:rsid w:val="002A0AA9"/>
    <w:rsid w:val="002A1FC3"/>
    <w:rsid w:val="002A6202"/>
    <w:rsid w:val="002B0010"/>
    <w:rsid w:val="002B5C0E"/>
    <w:rsid w:val="002B6B78"/>
    <w:rsid w:val="002C058F"/>
    <w:rsid w:val="002C2391"/>
    <w:rsid w:val="002D55A7"/>
    <w:rsid w:val="002D646A"/>
    <w:rsid w:val="002E16E1"/>
    <w:rsid w:val="002E1ED0"/>
    <w:rsid w:val="002E209F"/>
    <w:rsid w:val="002E2E50"/>
    <w:rsid w:val="002E5D52"/>
    <w:rsid w:val="002F1C58"/>
    <w:rsid w:val="002F3981"/>
    <w:rsid w:val="0031661D"/>
    <w:rsid w:val="00316777"/>
    <w:rsid w:val="00317253"/>
    <w:rsid w:val="003308D7"/>
    <w:rsid w:val="00332C68"/>
    <w:rsid w:val="00332EF7"/>
    <w:rsid w:val="0033568E"/>
    <w:rsid w:val="00342614"/>
    <w:rsid w:val="00343E22"/>
    <w:rsid w:val="003442BF"/>
    <w:rsid w:val="003468AE"/>
    <w:rsid w:val="00346E21"/>
    <w:rsid w:val="00347DD6"/>
    <w:rsid w:val="00363012"/>
    <w:rsid w:val="003647A8"/>
    <w:rsid w:val="00365C25"/>
    <w:rsid w:val="00367829"/>
    <w:rsid w:val="0037060E"/>
    <w:rsid w:val="00373F55"/>
    <w:rsid w:val="0037490F"/>
    <w:rsid w:val="00374D35"/>
    <w:rsid w:val="003765C8"/>
    <w:rsid w:val="00376AB4"/>
    <w:rsid w:val="00381D12"/>
    <w:rsid w:val="00385060"/>
    <w:rsid w:val="00397D46"/>
    <w:rsid w:val="003A3746"/>
    <w:rsid w:val="003B1F9A"/>
    <w:rsid w:val="003B338C"/>
    <w:rsid w:val="003B371D"/>
    <w:rsid w:val="003B5F24"/>
    <w:rsid w:val="003C14FD"/>
    <w:rsid w:val="003C1969"/>
    <w:rsid w:val="003D227B"/>
    <w:rsid w:val="003E2198"/>
    <w:rsid w:val="003E21DC"/>
    <w:rsid w:val="003E3E74"/>
    <w:rsid w:val="003F054C"/>
    <w:rsid w:val="003F1DAB"/>
    <w:rsid w:val="003F6D92"/>
    <w:rsid w:val="0040370A"/>
    <w:rsid w:val="00404D70"/>
    <w:rsid w:val="00413DB2"/>
    <w:rsid w:val="0041589F"/>
    <w:rsid w:val="00417FE9"/>
    <w:rsid w:val="00424493"/>
    <w:rsid w:val="00424594"/>
    <w:rsid w:val="00425E51"/>
    <w:rsid w:val="004322B0"/>
    <w:rsid w:val="00432535"/>
    <w:rsid w:val="00435384"/>
    <w:rsid w:val="00435456"/>
    <w:rsid w:val="00441295"/>
    <w:rsid w:val="004421E8"/>
    <w:rsid w:val="004428CA"/>
    <w:rsid w:val="00447878"/>
    <w:rsid w:val="00451321"/>
    <w:rsid w:val="004529A7"/>
    <w:rsid w:val="004542A4"/>
    <w:rsid w:val="004549A7"/>
    <w:rsid w:val="00454BF6"/>
    <w:rsid w:val="00462950"/>
    <w:rsid w:val="00463864"/>
    <w:rsid w:val="00473228"/>
    <w:rsid w:val="004808EA"/>
    <w:rsid w:val="0048312B"/>
    <w:rsid w:val="004855D9"/>
    <w:rsid w:val="00486F4C"/>
    <w:rsid w:val="004937A9"/>
    <w:rsid w:val="00496B20"/>
    <w:rsid w:val="004A4B7B"/>
    <w:rsid w:val="004A647F"/>
    <w:rsid w:val="004B4CEF"/>
    <w:rsid w:val="004B5D8D"/>
    <w:rsid w:val="004B5DD5"/>
    <w:rsid w:val="004C69CF"/>
    <w:rsid w:val="004D2A82"/>
    <w:rsid w:val="004D5B92"/>
    <w:rsid w:val="004E2BB2"/>
    <w:rsid w:val="004E4292"/>
    <w:rsid w:val="004E7DF7"/>
    <w:rsid w:val="004F03F0"/>
    <w:rsid w:val="004F520A"/>
    <w:rsid w:val="004F5ECD"/>
    <w:rsid w:val="005118B5"/>
    <w:rsid w:val="00515C8B"/>
    <w:rsid w:val="0051729A"/>
    <w:rsid w:val="005259B6"/>
    <w:rsid w:val="00531B93"/>
    <w:rsid w:val="00542E5A"/>
    <w:rsid w:val="00543268"/>
    <w:rsid w:val="0054561C"/>
    <w:rsid w:val="00566B81"/>
    <w:rsid w:val="00572A28"/>
    <w:rsid w:val="00584639"/>
    <w:rsid w:val="00587DCF"/>
    <w:rsid w:val="005904FF"/>
    <w:rsid w:val="005946BE"/>
    <w:rsid w:val="005956E9"/>
    <w:rsid w:val="005A56F7"/>
    <w:rsid w:val="005A5CE7"/>
    <w:rsid w:val="005B5322"/>
    <w:rsid w:val="005B59D5"/>
    <w:rsid w:val="005B7B6B"/>
    <w:rsid w:val="005C6BED"/>
    <w:rsid w:val="005D47FA"/>
    <w:rsid w:val="005D5D58"/>
    <w:rsid w:val="005E1385"/>
    <w:rsid w:val="005E30CA"/>
    <w:rsid w:val="005E34F4"/>
    <w:rsid w:val="005F3050"/>
    <w:rsid w:val="005F34E4"/>
    <w:rsid w:val="005F72F9"/>
    <w:rsid w:val="00601222"/>
    <w:rsid w:val="0060452D"/>
    <w:rsid w:val="00604682"/>
    <w:rsid w:val="00606751"/>
    <w:rsid w:val="006075F5"/>
    <w:rsid w:val="0060761A"/>
    <w:rsid w:val="00610087"/>
    <w:rsid w:val="0061126E"/>
    <w:rsid w:val="006123E5"/>
    <w:rsid w:val="00612A78"/>
    <w:rsid w:val="00613AA1"/>
    <w:rsid w:val="0061704F"/>
    <w:rsid w:val="006177CD"/>
    <w:rsid w:val="0062209F"/>
    <w:rsid w:val="00622A8E"/>
    <w:rsid w:val="00622CFC"/>
    <w:rsid w:val="00623906"/>
    <w:rsid w:val="006318B0"/>
    <w:rsid w:val="00634C5B"/>
    <w:rsid w:val="00635C83"/>
    <w:rsid w:val="00636473"/>
    <w:rsid w:val="00637568"/>
    <w:rsid w:val="00643F54"/>
    <w:rsid w:val="006441E3"/>
    <w:rsid w:val="00645C64"/>
    <w:rsid w:val="00645DD4"/>
    <w:rsid w:val="00646476"/>
    <w:rsid w:val="006468B4"/>
    <w:rsid w:val="00647713"/>
    <w:rsid w:val="00654202"/>
    <w:rsid w:val="006704A7"/>
    <w:rsid w:val="00671F79"/>
    <w:rsid w:val="00675316"/>
    <w:rsid w:val="00677321"/>
    <w:rsid w:val="0068339A"/>
    <w:rsid w:val="006922D4"/>
    <w:rsid w:val="00694ED4"/>
    <w:rsid w:val="00697ED4"/>
    <w:rsid w:val="006A3134"/>
    <w:rsid w:val="006A3BA7"/>
    <w:rsid w:val="006A4181"/>
    <w:rsid w:val="006A4E21"/>
    <w:rsid w:val="006B46F0"/>
    <w:rsid w:val="006B5C06"/>
    <w:rsid w:val="006B79C4"/>
    <w:rsid w:val="006C1E63"/>
    <w:rsid w:val="006C27FD"/>
    <w:rsid w:val="006C4C72"/>
    <w:rsid w:val="006C7DA9"/>
    <w:rsid w:val="006D193A"/>
    <w:rsid w:val="006D4CD8"/>
    <w:rsid w:val="006E77C0"/>
    <w:rsid w:val="006F1C36"/>
    <w:rsid w:val="006F26CB"/>
    <w:rsid w:val="006F38FF"/>
    <w:rsid w:val="00700172"/>
    <w:rsid w:val="00701686"/>
    <w:rsid w:val="00703AA2"/>
    <w:rsid w:val="00705CF7"/>
    <w:rsid w:val="0070752A"/>
    <w:rsid w:val="007076BB"/>
    <w:rsid w:val="00716A81"/>
    <w:rsid w:val="00717A4E"/>
    <w:rsid w:val="00722898"/>
    <w:rsid w:val="007243BA"/>
    <w:rsid w:val="00725F88"/>
    <w:rsid w:val="00731DED"/>
    <w:rsid w:val="007423B9"/>
    <w:rsid w:val="00742533"/>
    <w:rsid w:val="00744AE6"/>
    <w:rsid w:val="007510F6"/>
    <w:rsid w:val="00751A04"/>
    <w:rsid w:val="00752576"/>
    <w:rsid w:val="00757A91"/>
    <w:rsid w:val="00761F10"/>
    <w:rsid w:val="007634B0"/>
    <w:rsid w:val="00765B72"/>
    <w:rsid w:val="00766355"/>
    <w:rsid w:val="00775BE8"/>
    <w:rsid w:val="00783584"/>
    <w:rsid w:val="00783F26"/>
    <w:rsid w:val="00787FE7"/>
    <w:rsid w:val="00793533"/>
    <w:rsid w:val="00794277"/>
    <w:rsid w:val="007971DA"/>
    <w:rsid w:val="007A0F03"/>
    <w:rsid w:val="007A42C7"/>
    <w:rsid w:val="007A4F9C"/>
    <w:rsid w:val="007A545C"/>
    <w:rsid w:val="007A6055"/>
    <w:rsid w:val="007B361B"/>
    <w:rsid w:val="007B3C61"/>
    <w:rsid w:val="007C0829"/>
    <w:rsid w:val="007C1ADA"/>
    <w:rsid w:val="007C52D7"/>
    <w:rsid w:val="007D0FEA"/>
    <w:rsid w:val="007D2AD1"/>
    <w:rsid w:val="007D6EFB"/>
    <w:rsid w:val="007D7DFC"/>
    <w:rsid w:val="007E1FEC"/>
    <w:rsid w:val="007E2388"/>
    <w:rsid w:val="007E55C5"/>
    <w:rsid w:val="007E7698"/>
    <w:rsid w:val="007F03CF"/>
    <w:rsid w:val="007F6760"/>
    <w:rsid w:val="00802C66"/>
    <w:rsid w:val="00803AD6"/>
    <w:rsid w:val="00806AC1"/>
    <w:rsid w:val="00807B4F"/>
    <w:rsid w:val="008115BA"/>
    <w:rsid w:val="00813002"/>
    <w:rsid w:val="00824F4A"/>
    <w:rsid w:val="00825FAC"/>
    <w:rsid w:val="008321EF"/>
    <w:rsid w:val="00837247"/>
    <w:rsid w:val="00841543"/>
    <w:rsid w:val="00846BCF"/>
    <w:rsid w:val="008523BE"/>
    <w:rsid w:val="00854CD6"/>
    <w:rsid w:val="0086099C"/>
    <w:rsid w:val="00861798"/>
    <w:rsid w:val="00861947"/>
    <w:rsid w:val="008628B0"/>
    <w:rsid w:val="00865764"/>
    <w:rsid w:val="00873E23"/>
    <w:rsid w:val="00874654"/>
    <w:rsid w:val="00874AFF"/>
    <w:rsid w:val="00875044"/>
    <w:rsid w:val="00876ABF"/>
    <w:rsid w:val="00881180"/>
    <w:rsid w:val="0088257E"/>
    <w:rsid w:val="00886609"/>
    <w:rsid w:val="0089069D"/>
    <w:rsid w:val="0089229D"/>
    <w:rsid w:val="00892D2A"/>
    <w:rsid w:val="008A3689"/>
    <w:rsid w:val="008A505D"/>
    <w:rsid w:val="008B008F"/>
    <w:rsid w:val="008B26AF"/>
    <w:rsid w:val="008B38F8"/>
    <w:rsid w:val="008B3C1C"/>
    <w:rsid w:val="008C2036"/>
    <w:rsid w:val="008D340D"/>
    <w:rsid w:val="008D7245"/>
    <w:rsid w:val="008D76DC"/>
    <w:rsid w:val="008E31C2"/>
    <w:rsid w:val="008F229B"/>
    <w:rsid w:val="008F2D6C"/>
    <w:rsid w:val="008F7BAC"/>
    <w:rsid w:val="008F7C12"/>
    <w:rsid w:val="00901D90"/>
    <w:rsid w:val="00901ED1"/>
    <w:rsid w:val="00902B21"/>
    <w:rsid w:val="00902C65"/>
    <w:rsid w:val="009137BF"/>
    <w:rsid w:val="00913971"/>
    <w:rsid w:val="0091411B"/>
    <w:rsid w:val="00915917"/>
    <w:rsid w:val="00931751"/>
    <w:rsid w:val="00940645"/>
    <w:rsid w:val="00944102"/>
    <w:rsid w:val="00952836"/>
    <w:rsid w:val="009749AB"/>
    <w:rsid w:val="00975503"/>
    <w:rsid w:val="009763BF"/>
    <w:rsid w:val="0097700F"/>
    <w:rsid w:val="00980908"/>
    <w:rsid w:val="009906E2"/>
    <w:rsid w:val="009925BC"/>
    <w:rsid w:val="009A3D36"/>
    <w:rsid w:val="009A48A0"/>
    <w:rsid w:val="009A58FD"/>
    <w:rsid w:val="009A7929"/>
    <w:rsid w:val="009B1C6A"/>
    <w:rsid w:val="009B328C"/>
    <w:rsid w:val="009B7741"/>
    <w:rsid w:val="009C416E"/>
    <w:rsid w:val="009C5D33"/>
    <w:rsid w:val="009D3341"/>
    <w:rsid w:val="009D4395"/>
    <w:rsid w:val="009D5093"/>
    <w:rsid w:val="009D5B75"/>
    <w:rsid w:val="009E018E"/>
    <w:rsid w:val="009E160B"/>
    <w:rsid w:val="009E317B"/>
    <w:rsid w:val="009F3173"/>
    <w:rsid w:val="009F3D95"/>
    <w:rsid w:val="009F3DBE"/>
    <w:rsid w:val="00A016E4"/>
    <w:rsid w:val="00A12252"/>
    <w:rsid w:val="00A13A1C"/>
    <w:rsid w:val="00A1612B"/>
    <w:rsid w:val="00A1691A"/>
    <w:rsid w:val="00A20565"/>
    <w:rsid w:val="00A22804"/>
    <w:rsid w:val="00A24936"/>
    <w:rsid w:val="00A269C2"/>
    <w:rsid w:val="00A3089F"/>
    <w:rsid w:val="00A31687"/>
    <w:rsid w:val="00A31EC6"/>
    <w:rsid w:val="00A32810"/>
    <w:rsid w:val="00A3371C"/>
    <w:rsid w:val="00A34666"/>
    <w:rsid w:val="00A42120"/>
    <w:rsid w:val="00A45D10"/>
    <w:rsid w:val="00A5228A"/>
    <w:rsid w:val="00A6134C"/>
    <w:rsid w:val="00A616B6"/>
    <w:rsid w:val="00A73065"/>
    <w:rsid w:val="00A7312F"/>
    <w:rsid w:val="00A81A87"/>
    <w:rsid w:val="00A827E2"/>
    <w:rsid w:val="00A91E17"/>
    <w:rsid w:val="00A94C25"/>
    <w:rsid w:val="00A967E6"/>
    <w:rsid w:val="00AA1E18"/>
    <w:rsid w:val="00AA6704"/>
    <w:rsid w:val="00AB0F85"/>
    <w:rsid w:val="00AB424F"/>
    <w:rsid w:val="00AB5C4D"/>
    <w:rsid w:val="00AB6F3E"/>
    <w:rsid w:val="00AC1C53"/>
    <w:rsid w:val="00AC1F86"/>
    <w:rsid w:val="00AC2DCE"/>
    <w:rsid w:val="00AD0D2C"/>
    <w:rsid w:val="00AD3596"/>
    <w:rsid w:val="00AD4598"/>
    <w:rsid w:val="00AD57CA"/>
    <w:rsid w:val="00AE2A5A"/>
    <w:rsid w:val="00AE40F1"/>
    <w:rsid w:val="00AF120E"/>
    <w:rsid w:val="00AF236B"/>
    <w:rsid w:val="00AF2AB1"/>
    <w:rsid w:val="00AF5CB7"/>
    <w:rsid w:val="00AF6238"/>
    <w:rsid w:val="00B00898"/>
    <w:rsid w:val="00B0133B"/>
    <w:rsid w:val="00B04CD4"/>
    <w:rsid w:val="00B051FF"/>
    <w:rsid w:val="00B07813"/>
    <w:rsid w:val="00B104E3"/>
    <w:rsid w:val="00B10FE0"/>
    <w:rsid w:val="00B11B22"/>
    <w:rsid w:val="00B12456"/>
    <w:rsid w:val="00B15905"/>
    <w:rsid w:val="00B316C5"/>
    <w:rsid w:val="00B318DB"/>
    <w:rsid w:val="00B34175"/>
    <w:rsid w:val="00B36543"/>
    <w:rsid w:val="00B4088D"/>
    <w:rsid w:val="00B47182"/>
    <w:rsid w:val="00B50450"/>
    <w:rsid w:val="00B513FE"/>
    <w:rsid w:val="00B5548F"/>
    <w:rsid w:val="00B566C7"/>
    <w:rsid w:val="00B56A9A"/>
    <w:rsid w:val="00B60222"/>
    <w:rsid w:val="00B611BB"/>
    <w:rsid w:val="00B630FA"/>
    <w:rsid w:val="00B65365"/>
    <w:rsid w:val="00B70F57"/>
    <w:rsid w:val="00B7718C"/>
    <w:rsid w:val="00B81305"/>
    <w:rsid w:val="00B82C5D"/>
    <w:rsid w:val="00B834FD"/>
    <w:rsid w:val="00B91844"/>
    <w:rsid w:val="00B9453D"/>
    <w:rsid w:val="00B97344"/>
    <w:rsid w:val="00BA0D0E"/>
    <w:rsid w:val="00BA200F"/>
    <w:rsid w:val="00BA3EE8"/>
    <w:rsid w:val="00BA4E6F"/>
    <w:rsid w:val="00BA57D7"/>
    <w:rsid w:val="00BA6EAD"/>
    <w:rsid w:val="00BB1D28"/>
    <w:rsid w:val="00BB34E4"/>
    <w:rsid w:val="00BB5031"/>
    <w:rsid w:val="00BB77F6"/>
    <w:rsid w:val="00BC120F"/>
    <w:rsid w:val="00BC61E3"/>
    <w:rsid w:val="00BD7CCE"/>
    <w:rsid w:val="00BE1D29"/>
    <w:rsid w:val="00BE3316"/>
    <w:rsid w:val="00BE40BE"/>
    <w:rsid w:val="00BE5FC1"/>
    <w:rsid w:val="00BF1F04"/>
    <w:rsid w:val="00C00E09"/>
    <w:rsid w:val="00C01767"/>
    <w:rsid w:val="00C17948"/>
    <w:rsid w:val="00C204A5"/>
    <w:rsid w:val="00C225C7"/>
    <w:rsid w:val="00C22DD4"/>
    <w:rsid w:val="00C2491E"/>
    <w:rsid w:val="00C32486"/>
    <w:rsid w:val="00C3397E"/>
    <w:rsid w:val="00C34CCA"/>
    <w:rsid w:val="00C352E7"/>
    <w:rsid w:val="00C35E97"/>
    <w:rsid w:val="00C37263"/>
    <w:rsid w:val="00C41B3C"/>
    <w:rsid w:val="00C505D1"/>
    <w:rsid w:val="00C50AA9"/>
    <w:rsid w:val="00C522AD"/>
    <w:rsid w:val="00C546BC"/>
    <w:rsid w:val="00C5798A"/>
    <w:rsid w:val="00C6046B"/>
    <w:rsid w:val="00C6313C"/>
    <w:rsid w:val="00C70F7D"/>
    <w:rsid w:val="00C80129"/>
    <w:rsid w:val="00C818CA"/>
    <w:rsid w:val="00C81A9D"/>
    <w:rsid w:val="00C8377C"/>
    <w:rsid w:val="00CA100E"/>
    <w:rsid w:val="00CA3415"/>
    <w:rsid w:val="00CA3EEB"/>
    <w:rsid w:val="00CB7406"/>
    <w:rsid w:val="00CC1469"/>
    <w:rsid w:val="00CC4143"/>
    <w:rsid w:val="00CC5526"/>
    <w:rsid w:val="00CC6197"/>
    <w:rsid w:val="00CC770D"/>
    <w:rsid w:val="00CE110B"/>
    <w:rsid w:val="00CE13C9"/>
    <w:rsid w:val="00CE179F"/>
    <w:rsid w:val="00CE1E1E"/>
    <w:rsid w:val="00CE67D0"/>
    <w:rsid w:val="00CE6844"/>
    <w:rsid w:val="00CF00A3"/>
    <w:rsid w:val="00CF0410"/>
    <w:rsid w:val="00CF4CB3"/>
    <w:rsid w:val="00CF52B3"/>
    <w:rsid w:val="00D010B9"/>
    <w:rsid w:val="00D02553"/>
    <w:rsid w:val="00D0714F"/>
    <w:rsid w:val="00D13286"/>
    <w:rsid w:val="00D17D69"/>
    <w:rsid w:val="00D17E65"/>
    <w:rsid w:val="00D206C3"/>
    <w:rsid w:val="00D2439D"/>
    <w:rsid w:val="00D25008"/>
    <w:rsid w:val="00D27986"/>
    <w:rsid w:val="00D31393"/>
    <w:rsid w:val="00D31E72"/>
    <w:rsid w:val="00D34568"/>
    <w:rsid w:val="00D352D7"/>
    <w:rsid w:val="00D363D2"/>
    <w:rsid w:val="00D406DC"/>
    <w:rsid w:val="00D40BFC"/>
    <w:rsid w:val="00D45532"/>
    <w:rsid w:val="00D46219"/>
    <w:rsid w:val="00D51A6C"/>
    <w:rsid w:val="00D53991"/>
    <w:rsid w:val="00D55436"/>
    <w:rsid w:val="00D61197"/>
    <w:rsid w:val="00D62266"/>
    <w:rsid w:val="00D63A03"/>
    <w:rsid w:val="00D7680C"/>
    <w:rsid w:val="00D772F1"/>
    <w:rsid w:val="00D81D3B"/>
    <w:rsid w:val="00D867EE"/>
    <w:rsid w:val="00D86FE4"/>
    <w:rsid w:val="00D90CDD"/>
    <w:rsid w:val="00D91CE2"/>
    <w:rsid w:val="00D92021"/>
    <w:rsid w:val="00DA3170"/>
    <w:rsid w:val="00DA63CB"/>
    <w:rsid w:val="00DB0183"/>
    <w:rsid w:val="00DB0CA9"/>
    <w:rsid w:val="00DB0F6D"/>
    <w:rsid w:val="00DB30E6"/>
    <w:rsid w:val="00DC15E9"/>
    <w:rsid w:val="00DC69C6"/>
    <w:rsid w:val="00DD0C3E"/>
    <w:rsid w:val="00DD1FF6"/>
    <w:rsid w:val="00DD3DEF"/>
    <w:rsid w:val="00DE1047"/>
    <w:rsid w:val="00DE144E"/>
    <w:rsid w:val="00DF1578"/>
    <w:rsid w:val="00DF2D8D"/>
    <w:rsid w:val="00E04CF9"/>
    <w:rsid w:val="00E06F0D"/>
    <w:rsid w:val="00E10400"/>
    <w:rsid w:val="00E132D1"/>
    <w:rsid w:val="00E14AE6"/>
    <w:rsid w:val="00E15C35"/>
    <w:rsid w:val="00E175AF"/>
    <w:rsid w:val="00E1784C"/>
    <w:rsid w:val="00E201DA"/>
    <w:rsid w:val="00E205CD"/>
    <w:rsid w:val="00E305E4"/>
    <w:rsid w:val="00E32A5E"/>
    <w:rsid w:val="00E341D7"/>
    <w:rsid w:val="00E4191E"/>
    <w:rsid w:val="00E41A2E"/>
    <w:rsid w:val="00E4206B"/>
    <w:rsid w:val="00E42F2B"/>
    <w:rsid w:val="00E453A1"/>
    <w:rsid w:val="00E474F9"/>
    <w:rsid w:val="00E47C88"/>
    <w:rsid w:val="00E52FCC"/>
    <w:rsid w:val="00E545E9"/>
    <w:rsid w:val="00E57FC9"/>
    <w:rsid w:val="00E66114"/>
    <w:rsid w:val="00E672CA"/>
    <w:rsid w:val="00E70576"/>
    <w:rsid w:val="00E72AA2"/>
    <w:rsid w:val="00E851D9"/>
    <w:rsid w:val="00E92318"/>
    <w:rsid w:val="00E92CD5"/>
    <w:rsid w:val="00E94417"/>
    <w:rsid w:val="00E974C1"/>
    <w:rsid w:val="00EA0F8C"/>
    <w:rsid w:val="00EA213F"/>
    <w:rsid w:val="00EA4A12"/>
    <w:rsid w:val="00EA743D"/>
    <w:rsid w:val="00EB3856"/>
    <w:rsid w:val="00EB64F3"/>
    <w:rsid w:val="00EB657D"/>
    <w:rsid w:val="00EB7CE7"/>
    <w:rsid w:val="00EC0A4D"/>
    <w:rsid w:val="00EC2044"/>
    <w:rsid w:val="00EC5358"/>
    <w:rsid w:val="00EC6A93"/>
    <w:rsid w:val="00EC6E82"/>
    <w:rsid w:val="00EC7DA4"/>
    <w:rsid w:val="00ED1F6C"/>
    <w:rsid w:val="00ED5A82"/>
    <w:rsid w:val="00ED5F0C"/>
    <w:rsid w:val="00EE5680"/>
    <w:rsid w:val="00EE6655"/>
    <w:rsid w:val="00EF2B8C"/>
    <w:rsid w:val="00EF49BB"/>
    <w:rsid w:val="00F10B76"/>
    <w:rsid w:val="00F12854"/>
    <w:rsid w:val="00F14B7D"/>
    <w:rsid w:val="00F31203"/>
    <w:rsid w:val="00F32832"/>
    <w:rsid w:val="00F348F3"/>
    <w:rsid w:val="00F35C46"/>
    <w:rsid w:val="00F365E4"/>
    <w:rsid w:val="00F37A88"/>
    <w:rsid w:val="00F42254"/>
    <w:rsid w:val="00F4536E"/>
    <w:rsid w:val="00F57AAF"/>
    <w:rsid w:val="00F64BFC"/>
    <w:rsid w:val="00F64DAE"/>
    <w:rsid w:val="00F677C4"/>
    <w:rsid w:val="00F70B25"/>
    <w:rsid w:val="00F7179C"/>
    <w:rsid w:val="00F744F8"/>
    <w:rsid w:val="00F75A00"/>
    <w:rsid w:val="00F84EC2"/>
    <w:rsid w:val="00F90487"/>
    <w:rsid w:val="00FA0A88"/>
    <w:rsid w:val="00FA2251"/>
    <w:rsid w:val="00FA3AE5"/>
    <w:rsid w:val="00FB1642"/>
    <w:rsid w:val="00FB2088"/>
    <w:rsid w:val="00FB5EB3"/>
    <w:rsid w:val="00FC5A68"/>
    <w:rsid w:val="00FD45DD"/>
    <w:rsid w:val="00FD659C"/>
    <w:rsid w:val="00FD7769"/>
    <w:rsid w:val="00FE4D20"/>
    <w:rsid w:val="00FE7B3B"/>
    <w:rsid w:val="00FF0475"/>
    <w:rsid w:val="00FF4792"/>
    <w:rsid w:val="00FF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860A65"/>
  <w15:chartTrackingRefBased/>
  <w15:docId w15:val="{78BA20B1-D6C7-41AD-8F61-C2D27CFA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semiHidden/>
    <w:rsid w:val="00E453A1"/>
  </w:style>
  <w:style w:type="character" w:styleId="FootnoteReference">
    <w:name w:val="footnote reference"/>
    <w:semiHidden/>
    <w:rsid w:val="00E453A1"/>
    <w:rPr>
      <w:vertAlign w:val="superscript"/>
    </w:rPr>
  </w:style>
  <w:style w:type="paragraph" w:styleId="NormalWeb">
    <w:name w:val="Normal (Web)"/>
    <w:basedOn w:val="Normal"/>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142FED"/>
    <w:pPr>
      <w:autoSpaceDE w:val="0"/>
      <w:autoSpaceDN w:val="0"/>
      <w:adjustRightInd w:val="0"/>
    </w:pPr>
    <w:rPr>
      <w:color w:val="000000"/>
      <w:sz w:val="24"/>
      <w:szCs w:val="24"/>
    </w:rPr>
  </w:style>
  <w:style w:type="character" w:styleId="FollowedHyperlink">
    <w:name w:val="FollowedHyperlink"/>
    <w:rsid w:val="005A5CE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97249224">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oem.org/Practice-Resources/Practice-Guidelines-Cen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oem.org/Practice-Resources/Practice-Guidelines-Cent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13" ma:contentTypeDescription="Create a new document." ma:contentTypeScope="" ma:versionID="40e3f85624122ff0d9ec2bd083a9543d">
  <xsd:schema xmlns:xsd="http://www.w3.org/2001/XMLSchema" xmlns:xs="http://www.w3.org/2001/XMLSchema" xmlns:p="http://schemas.microsoft.com/office/2006/metadata/properties" xmlns:ns3="d1ba1c23-b5c4-47db-8d87-1bbb46e759e5" xmlns:ns4="c9942fb2-9664-4cd6-b540-684872d1b6cc" targetNamespace="http://schemas.microsoft.com/office/2006/metadata/properties" ma:root="true" ma:fieldsID="9cae97dc299d06b00bf29804e6b7b5c1" ns3:_="" ns4:_="">
    <xsd:import namespace="d1ba1c23-b5c4-47db-8d87-1bbb46e759e5"/>
    <xsd:import namespace="c9942fb2-9664-4cd6-b540-684872d1b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42fb2-9664-4cd6-b540-684872d1b6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1ba1c23-b5c4-47db-8d87-1bbb46e759e5" xsi:nil="true"/>
  </documentManagement>
</p:properties>
</file>

<file path=customXml/itemProps1.xml><?xml version="1.0" encoding="utf-8"?>
<ds:datastoreItem xmlns:ds="http://schemas.openxmlformats.org/officeDocument/2006/customXml" ds:itemID="{23E7FC06-6954-4501-A7A4-6CBF3336BF83}">
  <ds:schemaRefs>
    <ds:schemaRef ds:uri="http://schemas.microsoft.com/sharepoint/v3/contenttype/forms"/>
  </ds:schemaRefs>
</ds:datastoreItem>
</file>

<file path=customXml/itemProps2.xml><?xml version="1.0" encoding="utf-8"?>
<ds:datastoreItem xmlns:ds="http://schemas.openxmlformats.org/officeDocument/2006/customXml" ds:itemID="{590D2922-7022-47A6-B0CC-5E5F108F6D9E}">
  <ds:schemaRefs>
    <ds:schemaRef ds:uri="http://schemas.openxmlformats.org/officeDocument/2006/bibliography"/>
  </ds:schemaRefs>
</ds:datastoreItem>
</file>

<file path=customXml/itemProps3.xml><?xml version="1.0" encoding="utf-8"?>
<ds:datastoreItem xmlns:ds="http://schemas.openxmlformats.org/officeDocument/2006/customXml" ds:itemID="{094D7238-8155-481B-B748-D2F7F3FE3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c9942fb2-9664-4cd6-b540-684872d1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CB0EB-FBEB-4754-B7C8-76EF35A968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1619</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10967</CharactersWithSpaces>
  <SharedDoc>false</SharedDoc>
  <HLinks>
    <vt:vector size="12" baseType="variant">
      <vt:variant>
        <vt:i4>4063348</vt:i4>
      </vt:variant>
      <vt:variant>
        <vt:i4>3</vt:i4>
      </vt:variant>
      <vt:variant>
        <vt:i4>0</vt:i4>
      </vt:variant>
      <vt:variant>
        <vt:i4>5</vt:i4>
      </vt:variant>
      <vt:variant>
        <vt:lpwstr>https://acoem.org/Practice-Resources/Practice-Guidelines-Center</vt:lpwstr>
      </vt:variant>
      <vt:variant>
        <vt:lpwstr/>
      </vt:variant>
      <vt:variant>
        <vt:i4>4063348</vt:i4>
      </vt:variant>
      <vt:variant>
        <vt:i4>0</vt:i4>
      </vt:variant>
      <vt:variant>
        <vt:i4>0</vt:i4>
      </vt:variant>
      <vt:variant>
        <vt:i4>5</vt:i4>
      </vt:variant>
      <vt:variant>
        <vt:lpwstr>https://acoem.org/Practice-Resources/Practice-Guidelines-Center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Gray, Maureen@DIR</cp:lastModifiedBy>
  <cp:revision>3</cp:revision>
  <cp:lastPrinted>2005-05-13T18:46:00Z</cp:lastPrinted>
  <dcterms:created xsi:type="dcterms:W3CDTF">2024-02-07T19:07:00Z</dcterms:created>
  <dcterms:modified xsi:type="dcterms:W3CDTF">2024-02-07T19:08:00Z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