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83D5" w14:textId="5D3C3DFD" w:rsidR="007C3F4C" w:rsidRPr="00FB1825" w:rsidRDefault="00BA50FB" w:rsidP="005E014A">
      <w:pPr>
        <w:spacing w:after="0"/>
        <w:ind w:left="-360"/>
        <w:rPr>
          <w:b/>
          <w:bCs/>
          <w:sz w:val="28"/>
          <w:szCs w:val="28"/>
        </w:rPr>
      </w:pPr>
      <w:r w:rsidRPr="00BA50FB">
        <w:rPr>
          <w:b/>
          <w:bCs/>
          <w:i/>
          <w:iCs/>
          <w:sz w:val="28"/>
          <w:szCs w:val="28"/>
        </w:rPr>
        <w:t>§</w:t>
      </w:r>
      <w:r w:rsidR="007C3F4C" w:rsidRPr="00FB1825">
        <w:rPr>
          <w:b/>
          <w:bCs/>
          <w:i/>
          <w:iCs/>
          <w:sz w:val="28"/>
          <w:szCs w:val="28"/>
        </w:rPr>
        <w:t>3395. Heat Illness Prevention in Outdoor Places of Employment</w:t>
      </w:r>
    </w:p>
    <w:p w14:paraId="24C3DCAB" w14:textId="7AB2528E" w:rsidR="008451E8" w:rsidRDefault="008451E8" w:rsidP="008E4584">
      <w:pPr>
        <w:spacing w:before="120" w:after="0"/>
        <w:ind w:left="360" w:hanging="360"/>
      </w:pPr>
      <w:r>
        <w:t>* * * *</w:t>
      </w:r>
    </w:p>
    <w:p w14:paraId="16AC8E5A" w14:textId="58279F31" w:rsidR="00DB573B" w:rsidRDefault="00DB573B" w:rsidP="007461C9">
      <w:pPr>
        <w:ind w:left="360" w:hanging="360"/>
      </w:pPr>
      <w:r>
        <w:t xml:space="preserve">(g) </w:t>
      </w:r>
      <w:r w:rsidR="00EE5798">
        <w:t xml:space="preserve"> </w:t>
      </w:r>
      <w:r>
        <w:t>Acclimatization</w:t>
      </w:r>
    </w:p>
    <w:p w14:paraId="33C54DE2" w14:textId="5C9DAC9C" w:rsidR="005763A3" w:rsidRPr="00BC6837" w:rsidRDefault="005763A3" w:rsidP="000B4036">
      <w:pPr>
        <w:shd w:val="clear" w:color="auto" w:fill="FFFFFF"/>
        <w:spacing w:line="240" w:lineRule="auto"/>
        <w:ind w:left="720" w:hanging="360"/>
        <w:rPr>
          <w:rFonts w:eastAsia="Times New Roman" w:cs="Times New Roman"/>
          <w:color w:val="000000"/>
          <w:kern w:val="0"/>
          <w14:ligatures w14:val="none"/>
        </w:rPr>
      </w:pPr>
      <w:r w:rsidRPr="00720287">
        <w:rPr>
          <w:rFonts w:eastAsia="Times New Roman" w:cs="Times New Roman"/>
          <w:color w:val="000000"/>
          <w:kern w:val="0"/>
          <w14:ligatures w14:val="none"/>
        </w:rPr>
        <w:t>(1)</w:t>
      </w:r>
      <w:r w:rsidR="007121D8">
        <w:rPr>
          <w:rFonts w:eastAsia="Times New Roman" w:cs="Times New Roman"/>
          <w:color w:val="000000"/>
          <w:kern w:val="0"/>
          <w14:ligatures w14:val="none"/>
        </w:rPr>
        <w:tab/>
      </w:r>
      <w:r w:rsidRPr="00720287">
        <w:rPr>
          <w:rFonts w:eastAsia="Times New Roman" w:cs="Times New Roman"/>
          <w:color w:val="000000"/>
          <w:kern w:val="0"/>
          <w14:ligatures w14:val="none"/>
        </w:rPr>
        <w:t>All</w:t>
      </w:r>
      <w:r w:rsidRPr="00BC6837">
        <w:rPr>
          <w:rFonts w:eastAsia="Times New Roman" w:cs="Times New Roman"/>
          <w:color w:val="000000"/>
          <w:kern w:val="0"/>
          <w14:ligatures w14:val="none"/>
        </w:rPr>
        <w:t xml:space="preserve"> employees shall be closely observed by a supervisor or designee during a heat wave. For purposes of this section only, “heat wave” means any day in which the predicted high temperature for the day will be at least 80 degrees Fahrenheit and at least ten degrees Fahrenheit higher than the average high daily temperature in the preceding five days.</w:t>
      </w:r>
    </w:p>
    <w:p w14:paraId="004C1EC0" w14:textId="1DFEF5FF" w:rsidR="00A33DC5" w:rsidRPr="00C31FAD" w:rsidRDefault="005763A3" w:rsidP="00AC1FDB">
      <w:pPr>
        <w:shd w:val="clear" w:color="auto" w:fill="FFFFFF" w:themeFill="background1"/>
        <w:spacing w:after="120"/>
        <w:ind w:left="720" w:hanging="360"/>
        <w:rPr>
          <w:rFonts w:eastAsia="Times New Roman" w:cs="Times New Roman"/>
          <w:color w:val="000000"/>
          <w:kern w:val="0"/>
          <w14:ligatures w14:val="none"/>
        </w:rPr>
      </w:pPr>
      <w:r w:rsidRPr="00720287">
        <w:rPr>
          <w:rFonts w:eastAsia="Times New Roman" w:cs="Times New Roman"/>
          <w:color w:val="000000"/>
          <w:kern w:val="0"/>
          <w14:ligatures w14:val="none"/>
        </w:rPr>
        <w:t>(2)</w:t>
      </w:r>
      <w:r w:rsidR="007121D8">
        <w:rPr>
          <w:rFonts w:eastAsia="Times New Roman" w:cs="Times New Roman"/>
          <w:color w:val="000000"/>
          <w:kern w:val="0"/>
          <w14:ligatures w14:val="none"/>
        </w:rPr>
        <w:tab/>
      </w:r>
      <w:r w:rsidRPr="00BC6837">
        <w:rPr>
          <w:rFonts w:eastAsia="Times New Roman" w:cs="Times New Roman"/>
          <w:color w:val="000000"/>
          <w:kern w:val="0"/>
          <w14:ligatures w14:val="none"/>
        </w:rPr>
        <w:t>An employee who has been newly assigned to</w:t>
      </w:r>
      <w:r w:rsidRPr="00657D73">
        <w:rPr>
          <w:rFonts w:eastAsia="Times New Roman" w:cs="Times New Roman"/>
          <w:strike/>
          <w:color w:val="000000"/>
          <w:kern w:val="0"/>
          <w14:ligatures w14:val="none"/>
        </w:rPr>
        <w:t xml:space="preserve"> a high heat area</w:t>
      </w:r>
      <w:r w:rsidRPr="00DB0B3E">
        <w:rPr>
          <w:rFonts w:eastAsia="Times New Roman" w:cs="Times New Roman"/>
          <w:color w:val="000000"/>
          <w:kern w:val="0"/>
          <w:u w:val="thick"/>
          <w14:ligatures w14:val="none"/>
        </w:rPr>
        <w:t xml:space="preserve"> an area where the </w:t>
      </w:r>
      <w:r w:rsidRPr="00DB0B3E">
        <w:rPr>
          <w:color w:val="000000"/>
          <w:u w:val="thick"/>
          <w:shd w:val="clear" w:color="auto" w:fill="FFFFFF"/>
        </w:rPr>
        <w:t xml:space="preserve">temperature equals or exceeds </w:t>
      </w:r>
      <w:r w:rsidRPr="00DB0B3E">
        <w:rPr>
          <w:color w:val="000000" w:themeColor="text1"/>
          <w:u w:val="thick"/>
        </w:rPr>
        <w:t>95</w:t>
      </w:r>
      <w:r w:rsidRPr="00DB0B3E">
        <w:rPr>
          <w:color w:val="000000"/>
          <w:u w:val="thick"/>
          <w:shd w:val="clear" w:color="auto" w:fill="FFFFFF"/>
        </w:rPr>
        <w:t xml:space="preserve"> degrees Fahrenheit</w:t>
      </w:r>
      <w:r w:rsidRPr="00F17554">
        <w:rPr>
          <w:color w:val="000000"/>
          <w:shd w:val="clear" w:color="auto" w:fill="FFFFFF"/>
        </w:rPr>
        <w:t xml:space="preserve"> </w:t>
      </w:r>
      <w:r w:rsidRPr="00BC6837">
        <w:rPr>
          <w:rFonts w:eastAsia="Times New Roman" w:cs="Times New Roman"/>
          <w:color w:val="000000"/>
          <w:kern w:val="0"/>
          <w14:ligatures w14:val="none"/>
        </w:rPr>
        <w:t>shall be closely observed by a supervisor or designee for the first 14 days of the employee's employment.</w:t>
      </w:r>
    </w:p>
    <w:tbl>
      <w:tblPr>
        <w:tblStyle w:val="TableGrid"/>
        <w:tblW w:w="0" w:type="auto"/>
        <w:tblInd w:w="715" w:type="dxa"/>
        <w:tblCellMar>
          <w:top w:w="58" w:type="dxa"/>
          <w:bottom w:w="58" w:type="dxa"/>
        </w:tblCellMar>
        <w:tblLook w:val="04A0" w:firstRow="1" w:lastRow="0" w:firstColumn="1" w:lastColumn="0" w:noHBand="0" w:noVBand="1"/>
      </w:tblPr>
      <w:tblGrid>
        <w:gridCol w:w="9360"/>
      </w:tblGrid>
      <w:tr w:rsidR="00A33DC5" w:rsidRPr="00DB0B3E" w14:paraId="70C3E8B7" w14:textId="77777777" w:rsidTr="007F3F97">
        <w:tc>
          <w:tcPr>
            <w:tcW w:w="9360" w:type="dxa"/>
            <w:shd w:val="clear" w:color="auto" w:fill="FFFF00"/>
          </w:tcPr>
          <w:p w14:paraId="03445D82" w14:textId="6E2ADD43" w:rsidR="00A33DC5" w:rsidRPr="00DB0B3E" w:rsidRDefault="00A33DC5">
            <w:pPr>
              <w:rPr>
                <w:i/>
                <w:iCs/>
              </w:rPr>
            </w:pPr>
            <w:r w:rsidRPr="00DB0B3E">
              <w:rPr>
                <w:i/>
                <w:iCs/>
              </w:rPr>
              <w:t>The revised language in subsection (g)(2) clarifie</w:t>
            </w:r>
            <w:r w:rsidR="00382C94" w:rsidRPr="00DB0B3E">
              <w:rPr>
                <w:i/>
                <w:iCs/>
              </w:rPr>
              <w:t>s the term,</w:t>
            </w:r>
            <w:r w:rsidR="00506E9F" w:rsidRPr="00DB0B3E">
              <w:rPr>
                <w:i/>
                <w:iCs/>
              </w:rPr>
              <w:t xml:space="preserve"> </w:t>
            </w:r>
            <w:r w:rsidRPr="00DB0B3E">
              <w:rPr>
                <w:i/>
                <w:iCs/>
              </w:rPr>
              <w:t>“high heat area</w:t>
            </w:r>
            <w:r w:rsidR="00C80EB7" w:rsidRPr="00DB0B3E">
              <w:rPr>
                <w:i/>
                <w:iCs/>
              </w:rPr>
              <w:t>,</w:t>
            </w:r>
            <w:r w:rsidRPr="00DB0B3E">
              <w:rPr>
                <w:i/>
                <w:iCs/>
              </w:rPr>
              <w:t>”</w:t>
            </w:r>
            <w:r w:rsidR="00C80EB7" w:rsidRPr="00DB0B3E">
              <w:rPr>
                <w:i/>
                <w:iCs/>
              </w:rPr>
              <w:t xml:space="preserve"> to be consistent with the language in subsection (e) High-heat procedures.</w:t>
            </w:r>
          </w:p>
        </w:tc>
      </w:tr>
    </w:tbl>
    <w:p w14:paraId="7BBED2B5" w14:textId="178EF999" w:rsidR="00E46DBC" w:rsidRPr="004257E8" w:rsidRDefault="000B4036" w:rsidP="00617800">
      <w:pPr>
        <w:shd w:val="clear" w:color="auto" w:fill="FFFFFF" w:themeFill="background1"/>
        <w:spacing w:before="240" w:after="120"/>
        <w:ind w:left="720" w:hanging="360"/>
        <w:rPr>
          <w:rFonts w:eastAsia="Times New Roman" w:cs="Times New Roman"/>
          <w:color w:val="000000"/>
          <w:kern w:val="0"/>
          <w:u w:val="thick"/>
          <w14:ligatures w14:val="none"/>
        </w:rPr>
      </w:pPr>
      <w:r w:rsidRPr="004257E8">
        <w:rPr>
          <w:u w:val="thick"/>
        </w:rPr>
        <w:t>(3)</w:t>
      </w:r>
      <w:r w:rsidR="007121D8" w:rsidRPr="004257E8">
        <w:rPr>
          <w:u w:val="thick"/>
        </w:rPr>
        <w:tab/>
        <w:t xml:space="preserve">For </w:t>
      </w:r>
      <w:r w:rsidR="003C7C85" w:rsidRPr="004257E8">
        <w:rPr>
          <w:u w:val="thick"/>
        </w:rPr>
        <w:t xml:space="preserve">new employees and returning </w:t>
      </w:r>
      <w:r w:rsidR="007121D8" w:rsidRPr="004257E8">
        <w:rPr>
          <w:u w:val="thick"/>
        </w:rPr>
        <w:t>employees assigned to work area</w:t>
      </w:r>
      <w:r w:rsidR="007E1849" w:rsidRPr="004257E8">
        <w:rPr>
          <w:u w:val="thick"/>
        </w:rPr>
        <w:t>s</w:t>
      </w:r>
      <w:r w:rsidR="007121D8" w:rsidRPr="004257E8">
        <w:rPr>
          <w:u w:val="thick"/>
        </w:rPr>
        <w:t xml:space="preserve"> where the temperature exceeds 80 degrees Fahrenheit, the employer shall </w:t>
      </w:r>
      <w:r w:rsidR="57979287" w:rsidRPr="004257E8">
        <w:rPr>
          <w:u w:val="thick"/>
        </w:rPr>
        <w:t xml:space="preserve">either implement subsection (e) for the unacclimatized employee for 5 working days or </w:t>
      </w:r>
      <w:r w:rsidR="007121D8" w:rsidRPr="004257E8">
        <w:rPr>
          <w:u w:val="thick"/>
        </w:rPr>
        <w:t>implement the following work schedules:</w:t>
      </w:r>
    </w:p>
    <w:tbl>
      <w:tblPr>
        <w:tblStyle w:val="TableGrid"/>
        <w:tblW w:w="0" w:type="auto"/>
        <w:tblInd w:w="715" w:type="dxa"/>
        <w:tblCellMar>
          <w:top w:w="58" w:type="dxa"/>
          <w:bottom w:w="58" w:type="dxa"/>
        </w:tblCellMar>
        <w:tblLook w:val="04A0" w:firstRow="1" w:lastRow="0" w:firstColumn="1" w:lastColumn="0" w:noHBand="0" w:noVBand="1"/>
      </w:tblPr>
      <w:tblGrid>
        <w:gridCol w:w="9360"/>
      </w:tblGrid>
      <w:tr w:rsidR="00E46DBC" w:rsidRPr="00DB0B3E" w14:paraId="25CB6749" w14:textId="77777777" w:rsidTr="007F3F97">
        <w:tc>
          <w:tcPr>
            <w:tcW w:w="9360" w:type="dxa"/>
            <w:shd w:val="clear" w:color="auto" w:fill="FFFF00"/>
          </w:tcPr>
          <w:p w14:paraId="62A66DB3" w14:textId="25353A70" w:rsidR="00E46DBC" w:rsidRPr="005B000A" w:rsidRDefault="0072213A" w:rsidP="00DB0B3E">
            <w:pPr>
              <w:shd w:val="clear" w:color="auto" w:fill="FFFF00"/>
              <w:rPr>
                <w:i/>
                <w:iCs/>
                <w:highlight w:val="yellow"/>
              </w:rPr>
            </w:pPr>
            <w:r w:rsidRPr="005B000A">
              <w:rPr>
                <w:i/>
                <w:iCs/>
              </w:rPr>
              <w:t>New</w:t>
            </w:r>
            <w:r w:rsidR="00E46DBC" w:rsidRPr="005B000A">
              <w:rPr>
                <w:i/>
                <w:iCs/>
              </w:rPr>
              <w:t xml:space="preserve"> subsection (g)(</w:t>
            </w:r>
            <w:r w:rsidRPr="005B000A">
              <w:rPr>
                <w:i/>
                <w:iCs/>
              </w:rPr>
              <w:t>3</w:t>
            </w:r>
            <w:r w:rsidR="00E46DBC" w:rsidRPr="005B000A">
              <w:rPr>
                <w:i/>
                <w:iCs/>
              </w:rPr>
              <w:t>)</w:t>
            </w:r>
            <w:r w:rsidR="00862780" w:rsidRPr="005B000A">
              <w:rPr>
                <w:i/>
                <w:iCs/>
              </w:rPr>
              <w:t xml:space="preserve"> is from </w:t>
            </w:r>
            <w:r w:rsidR="00E505BB" w:rsidRPr="005B000A">
              <w:rPr>
                <w:i/>
                <w:iCs/>
              </w:rPr>
              <w:t>provisions in</w:t>
            </w:r>
            <w:r w:rsidR="000F4477" w:rsidRPr="005B000A">
              <w:rPr>
                <w:i/>
                <w:iCs/>
              </w:rPr>
              <w:t xml:space="preserve"> </w:t>
            </w:r>
            <w:hyperlink r:id="rId11" w:history="1">
              <w:r w:rsidR="00EF108B" w:rsidRPr="005B000A">
                <w:rPr>
                  <w:rStyle w:val="Hyperlink"/>
                  <w:i/>
                  <w:iCs/>
                </w:rPr>
                <w:t>OSHA, H</w:t>
              </w:r>
              <w:r w:rsidR="005A6C76" w:rsidRPr="005B000A">
                <w:rPr>
                  <w:rStyle w:val="Hyperlink"/>
                  <w:i/>
                  <w:iCs/>
                </w:rPr>
                <w:t>eat Injury and Illness Prevention in Outdoor and Indoor Work Settings</w:t>
              </w:r>
            </w:hyperlink>
            <w:r w:rsidR="005A6C76" w:rsidRPr="005B000A">
              <w:rPr>
                <w:i/>
                <w:iCs/>
              </w:rPr>
              <w:t xml:space="preserve"> </w:t>
            </w:r>
            <w:r w:rsidR="000F4477" w:rsidRPr="005B000A">
              <w:rPr>
                <w:i/>
                <w:iCs/>
              </w:rPr>
              <w:t>(proposed rule published on 8/30/2024)</w:t>
            </w:r>
            <w:r w:rsidR="00E505BB" w:rsidRPr="005B000A">
              <w:rPr>
                <w:i/>
                <w:iCs/>
              </w:rPr>
              <w:t xml:space="preserve"> that allow the employer to implement requirements applicable at or above OSHA’s “high heat trigger” instead of implementing the work schedules set forth</w:t>
            </w:r>
            <w:r w:rsidR="00DA5744" w:rsidRPr="005B000A">
              <w:rPr>
                <w:i/>
                <w:iCs/>
              </w:rPr>
              <w:t xml:space="preserve"> below.</w:t>
            </w:r>
          </w:p>
        </w:tc>
      </w:tr>
    </w:tbl>
    <w:p w14:paraId="6ED75992" w14:textId="29196FE5" w:rsidR="007121D8" w:rsidRPr="0071123C" w:rsidRDefault="007121D8" w:rsidP="00617800">
      <w:pPr>
        <w:spacing w:before="240"/>
        <w:ind w:left="1080" w:hanging="360"/>
        <w:rPr>
          <w:u w:val="thick"/>
        </w:rPr>
      </w:pPr>
      <w:r w:rsidRPr="0071123C">
        <w:rPr>
          <w:u w:val="thick"/>
        </w:rPr>
        <w:t>(A)</w:t>
      </w:r>
      <w:r w:rsidRPr="0071123C">
        <w:rPr>
          <w:u w:val="thick"/>
        </w:rPr>
        <w:tab/>
      </w:r>
      <w:r w:rsidR="006022A5" w:rsidRPr="0071123C">
        <w:rPr>
          <w:u w:val="thick"/>
        </w:rPr>
        <w:t>For a new</w:t>
      </w:r>
      <w:r w:rsidR="00DA5342" w:rsidRPr="0071123C">
        <w:rPr>
          <w:u w:val="thick"/>
        </w:rPr>
        <w:t xml:space="preserve"> </w:t>
      </w:r>
      <w:r w:rsidR="006022A5" w:rsidRPr="0071123C">
        <w:rPr>
          <w:u w:val="thick"/>
        </w:rPr>
        <w:t>employee, the employee’s exposure to heat</w:t>
      </w:r>
      <w:r w:rsidR="0091066A" w:rsidRPr="0071123C">
        <w:rPr>
          <w:u w:val="thick"/>
        </w:rPr>
        <w:t xml:space="preserve"> shall be</w:t>
      </w:r>
      <w:r w:rsidR="006022A5" w:rsidRPr="0071123C">
        <w:rPr>
          <w:u w:val="thick"/>
        </w:rPr>
        <w:t xml:space="preserve"> restricted to no more than </w:t>
      </w:r>
      <w:r w:rsidR="0047178A" w:rsidRPr="0071123C">
        <w:rPr>
          <w:u w:val="thick"/>
        </w:rPr>
        <w:t xml:space="preserve">20% of the usual work duration </w:t>
      </w:r>
      <w:r w:rsidR="0092458E" w:rsidRPr="0071123C">
        <w:rPr>
          <w:u w:val="thick"/>
        </w:rPr>
        <w:t>on the first day of work, 40% on the second day of work, 60% on the third day of work, and 80% on the fourth day of work.</w:t>
      </w:r>
    </w:p>
    <w:p w14:paraId="43C63D95" w14:textId="4726850A" w:rsidR="005C3D04" w:rsidRPr="0071123C" w:rsidRDefault="005C3D04" w:rsidP="00922AD5">
      <w:pPr>
        <w:shd w:val="clear" w:color="auto" w:fill="FFFFFF" w:themeFill="background1"/>
        <w:ind w:left="1080" w:hanging="360"/>
        <w:rPr>
          <w:u w:val="thick"/>
        </w:rPr>
      </w:pPr>
      <w:r w:rsidRPr="0071123C">
        <w:rPr>
          <w:u w:val="thick"/>
        </w:rPr>
        <w:t>(B)</w:t>
      </w:r>
      <w:r w:rsidRPr="0071123C">
        <w:rPr>
          <w:u w:val="thick"/>
        </w:rPr>
        <w:tab/>
        <w:t xml:space="preserve">For </w:t>
      </w:r>
      <w:r w:rsidR="00DA5342" w:rsidRPr="0071123C">
        <w:rPr>
          <w:u w:val="thick"/>
        </w:rPr>
        <w:t>a returning</w:t>
      </w:r>
      <w:r w:rsidR="00030A98" w:rsidRPr="0071123C">
        <w:rPr>
          <w:u w:val="thick"/>
        </w:rPr>
        <w:t xml:space="preserve"> </w:t>
      </w:r>
      <w:r w:rsidR="001509BC" w:rsidRPr="0071123C">
        <w:rPr>
          <w:u w:val="thick"/>
        </w:rPr>
        <w:t xml:space="preserve">employee who has been away for more than 14 days, the employee’s exposure to heat shall be restricted to no more than </w:t>
      </w:r>
      <w:r w:rsidR="00561708" w:rsidRPr="0071123C">
        <w:rPr>
          <w:u w:val="thick"/>
        </w:rPr>
        <w:t>5</w:t>
      </w:r>
      <w:r w:rsidR="001509BC" w:rsidRPr="0071123C">
        <w:rPr>
          <w:u w:val="thick"/>
        </w:rPr>
        <w:t xml:space="preserve">0% of the usual work duration on the first day of work, </w:t>
      </w:r>
      <w:r w:rsidR="00561708" w:rsidRPr="0071123C">
        <w:rPr>
          <w:u w:val="thick"/>
        </w:rPr>
        <w:t>6</w:t>
      </w:r>
      <w:r w:rsidR="001509BC" w:rsidRPr="0071123C">
        <w:rPr>
          <w:u w:val="thick"/>
        </w:rPr>
        <w:t xml:space="preserve">0% on the second day of work, </w:t>
      </w:r>
      <w:r w:rsidR="00561708" w:rsidRPr="0071123C">
        <w:rPr>
          <w:u w:val="thick"/>
        </w:rPr>
        <w:t>and 8</w:t>
      </w:r>
      <w:r w:rsidR="001509BC" w:rsidRPr="0071123C">
        <w:rPr>
          <w:u w:val="thick"/>
        </w:rPr>
        <w:t>0% on the third day of work</w:t>
      </w:r>
      <w:r w:rsidR="00561708" w:rsidRPr="0071123C">
        <w:rPr>
          <w:u w:val="thick"/>
        </w:rPr>
        <w:t>.</w:t>
      </w:r>
    </w:p>
    <w:tbl>
      <w:tblPr>
        <w:tblStyle w:val="TableGrid"/>
        <w:tblW w:w="0" w:type="auto"/>
        <w:tblInd w:w="720" w:type="dxa"/>
        <w:tblCellMar>
          <w:top w:w="58" w:type="dxa"/>
          <w:bottom w:w="58" w:type="dxa"/>
        </w:tblCellMar>
        <w:tblLook w:val="04A0" w:firstRow="1" w:lastRow="0" w:firstColumn="1" w:lastColumn="0" w:noHBand="0" w:noVBand="1"/>
      </w:tblPr>
      <w:tblGrid>
        <w:gridCol w:w="9350"/>
      </w:tblGrid>
      <w:tr w:rsidR="00922AD5" w14:paraId="41B46762" w14:textId="77777777" w:rsidTr="005B000A">
        <w:tc>
          <w:tcPr>
            <w:tcW w:w="9350" w:type="dxa"/>
            <w:shd w:val="clear" w:color="auto" w:fill="FFFF00"/>
          </w:tcPr>
          <w:p w14:paraId="48D22A7A" w14:textId="497EC8F5" w:rsidR="00922AD5" w:rsidRPr="00922AD5" w:rsidRDefault="000F07BC" w:rsidP="0EEE6A5B">
            <w:pPr>
              <w:rPr>
                <w:i/>
                <w:iCs/>
              </w:rPr>
            </w:pPr>
            <w:r w:rsidRPr="005B000A">
              <w:rPr>
                <w:i/>
                <w:iCs/>
              </w:rPr>
              <w:t>New s</w:t>
            </w:r>
            <w:r w:rsidR="00922AD5" w:rsidRPr="005B000A">
              <w:rPr>
                <w:i/>
                <w:iCs/>
              </w:rPr>
              <w:t xml:space="preserve">ubsections (g)(3)(A) and (g)(3)(B) will implement Labor Code section 6721. The percentage limits are from (1) requirements in </w:t>
            </w:r>
            <w:hyperlink r:id="rId12" w:history="1">
              <w:r w:rsidR="00EF108B" w:rsidRPr="005B000A">
                <w:rPr>
                  <w:rStyle w:val="Hyperlink"/>
                  <w:i/>
                  <w:iCs/>
                </w:rPr>
                <w:t>OSHA, Heat Injury and Illness Prevention in Outdoor and Indoor Work Settings</w:t>
              </w:r>
            </w:hyperlink>
            <w:r w:rsidR="00EF108B" w:rsidRPr="005B000A">
              <w:rPr>
                <w:i/>
                <w:iCs/>
              </w:rPr>
              <w:t xml:space="preserve"> (proposed rule published on 8/30/2024)</w:t>
            </w:r>
            <w:r w:rsidR="00922AD5" w:rsidRPr="005B000A">
              <w:rPr>
                <w:i/>
                <w:iCs/>
              </w:rPr>
              <w:t xml:space="preserve"> and (2) recommendations in </w:t>
            </w:r>
            <w:hyperlink r:id="rId13">
              <w:r w:rsidR="00922AD5" w:rsidRPr="005B000A">
                <w:rPr>
                  <w:rStyle w:val="Hyperlink"/>
                  <w:i/>
                  <w:iCs/>
                  <w:u w:val="none"/>
                </w:rPr>
                <w:t>NIOSH, Criteria for a Recommended Standard: Occupational Exposure to Heat and Hot Environments</w:t>
              </w:r>
            </w:hyperlink>
            <w:r w:rsidR="00922AD5" w:rsidRPr="005B000A">
              <w:rPr>
                <w:i/>
                <w:iCs/>
              </w:rPr>
              <w:t>.</w:t>
            </w:r>
          </w:p>
        </w:tc>
      </w:tr>
    </w:tbl>
    <w:p w14:paraId="57ED2D5C" w14:textId="49F3AD37" w:rsidR="003D4146" w:rsidRPr="00A91C9B" w:rsidRDefault="0074733A" w:rsidP="00E67AC0">
      <w:pPr>
        <w:spacing w:before="240"/>
        <w:ind w:left="720"/>
        <w:rPr>
          <w:u w:val="thick"/>
        </w:rPr>
      </w:pPr>
      <w:r w:rsidRPr="00A91C9B">
        <w:rPr>
          <w:u w:val="thick"/>
        </w:rPr>
        <w:t>EXCEPTION to subsections (g)(3)(A) and (g)(3)(B):</w:t>
      </w:r>
      <w:r w:rsidR="00CC55C6" w:rsidRPr="00A91C9B">
        <w:rPr>
          <w:u w:val="thick"/>
        </w:rPr>
        <w:t xml:space="preserve"> </w:t>
      </w:r>
      <w:r w:rsidR="00A86747" w:rsidRPr="00A91C9B">
        <w:rPr>
          <w:u w:val="thick"/>
        </w:rPr>
        <w:t>The requirements of subsections (g)(3)(A) and (g)(3)(B) do not apply if the employer can demonstrate the employee consistently worked under the same or similar conditions as the employer’s working conditions with</w:t>
      </w:r>
      <w:r w:rsidR="00265EAB" w:rsidRPr="00A91C9B">
        <w:rPr>
          <w:u w:val="thick"/>
        </w:rPr>
        <w:t>in</w:t>
      </w:r>
      <w:r w:rsidR="00A86747" w:rsidRPr="00A91C9B">
        <w:rPr>
          <w:u w:val="thick"/>
        </w:rPr>
        <w:t xml:space="preserve"> the prior 14 days.</w:t>
      </w:r>
    </w:p>
    <w:tbl>
      <w:tblPr>
        <w:tblStyle w:val="TableGrid"/>
        <w:tblW w:w="0" w:type="auto"/>
        <w:tblInd w:w="720" w:type="dxa"/>
        <w:tblCellMar>
          <w:top w:w="58" w:type="dxa"/>
          <w:bottom w:w="58" w:type="dxa"/>
        </w:tblCellMar>
        <w:tblLook w:val="04A0" w:firstRow="1" w:lastRow="0" w:firstColumn="1" w:lastColumn="0" w:noHBand="0" w:noVBand="1"/>
      </w:tblPr>
      <w:tblGrid>
        <w:gridCol w:w="9350"/>
      </w:tblGrid>
      <w:tr w:rsidR="00922AD5" w14:paraId="52720277" w14:textId="77777777" w:rsidTr="005B000A">
        <w:tc>
          <w:tcPr>
            <w:tcW w:w="9350" w:type="dxa"/>
            <w:shd w:val="clear" w:color="auto" w:fill="FFFF00"/>
          </w:tcPr>
          <w:p w14:paraId="7A275843" w14:textId="5F8D7372" w:rsidR="00922AD5" w:rsidRPr="005B000A" w:rsidRDefault="005B487E" w:rsidP="00922AD5">
            <w:pPr>
              <w:rPr>
                <w:rFonts w:eastAsia="Times New Roman" w:cs="Times New Roman"/>
                <w:i/>
                <w:iCs/>
                <w:color w:val="000000" w:themeColor="text1"/>
              </w:rPr>
            </w:pPr>
            <w:r w:rsidRPr="005B000A">
              <w:rPr>
                <w:rFonts w:eastAsia="Times New Roman" w:cs="Times New Roman"/>
                <w:i/>
                <w:iCs/>
                <w:color w:val="000000" w:themeColor="text1"/>
              </w:rPr>
              <w:lastRenderedPageBreak/>
              <w:t xml:space="preserve">This </w:t>
            </w:r>
            <w:r w:rsidR="003612FF" w:rsidRPr="005B000A">
              <w:rPr>
                <w:rFonts w:eastAsia="Times New Roman" w:cs="Times New Roman"/>
                <w:i/>
                <w:iCs/>
                <w:color w:val="000000" w:themeColor="text1"/>
              </w:rPr>
              <w:t xml:space="preserve">EXCEPTION is </w:t>
            </w:r>
            <w:r w:rsidR="00CE330B" w:rsidRPr="005B000A">
              <w:rPr>
                <w:rFonts w:eastAsia="Times New Roman" w:cs="Times New Roman"/>
                <w:i/>
                <w:iCs/>
                <w:color w:val="000000" w:themeColor="text1"/>
              </w:rPr>
              <w:t>based on the same exception in</w:t>
            </w:r>
            <w:r w:rsidR="00B8197C" w:rsidRPr="005B000A">
              <w:rPr>
                <w:i/>
                <w:iCs/>
              </w:rPr>
              <w:t xml:space="preserve"> </w:t>
            </w:r>
            <w:hyperlink r:id="rId14" w:history="1">
              <w:r w:rsidR="00EF108B" w:rsidRPr="005B000A">
                <w:rPr>
                  <w:rStyle w:val="Hyperlink"/>
                  <w:i/>
                  <w:iCs/>
                </w:rPr>
                <w:t>OSHA, Heat Injury and Illness Prevention in Outdoor and Indoor Work Settings</w:t>
              </w:r>
            </w:hyperlink>
            <w:r w:rsidR="00EF108B" w:rsidRPr="005B000A">
              <w:rPr>
                <w:i/>
                <w:iCs/>
              </w:rPr>
              <w:t xml:space="preserve"> (proposed rule published on 8/30/2024)</w:t>
            </w:r>
            <w:r w:rsidR="00EC088E" w:rsidRPr="005B000A">
              <w:rPr>
                <w:i/>
                <w:iCs/>
              </w:rPr>
              <w:t>.</w:t>
            </w:r>
          </w:p>
        </w:tc>
      </w:tr>
    </w:tbl>
    <w:p w14:paraId="3A564AA0" w14:textId="3052BD28" w:rsidR="27AD4F01" w:rsidRDefault="27AD4F01" w:rsidP="27AD4F01">
      <w:pPr>
        <w:pBdr>
          <w:bottom w:val="single" w:sz="12" w:space="1" w:color="auto"/>
        </w:pBdr>
        <w:shd w:val="clear" w:color="auto" w:fill="FFFFFF" w:themeFill="background1"/>
        <w:spacing w:before="160" w:after="240" w:line="240" w:lineRule="auto"/>
        <w:rPr>
          <w:rFonts w:eastAsia="Times New Roman" w:cs="Times New Roman"/>
          <w:b/>
          <w:bCs/>
          <w:color w:val="000000" w:themeColor="text1"/>
        </w:rPr>
      </w:pPr>
    </w:p>
    <w:p w14:paraId="4125633A" w14:textId="77777777" w:rsidR="000F140B" w:rsidRDefault="000F140B" w:rsidP="00842542">
      <w:pPr>
        <w:shd w:val="clear" w:color="auto" w:fill="FFFFFF" w:themeFill="background1"/>
        <w:spacing w:before="120" w:after="0" w:line="240" w:lineRule="auto"/>
        <w:ind w:hanging="360"/>
        <w:rPr>
          <w:rFonts w:eastAsia="Times New Roman" w:cs="Times New Roman"/>
          <w:color w:val="000000"/>
          <w:kern w:val="0"/>
          <w14:ligatures w14:val="none"/>
        </w:rPr>
      </w:pPr>
      <w:r w:rsidRPr="00BA50FB">
        <w:rPr>
          <w:b/>
          <w:bCs/>
          <w:i/>
          <w:iCs/>
          <w:sz w:val="28"/>
          <w:szCs w:val="28"/>
        </w:rPr>
        <w:t>§</w:t>
      </w:r>
      <w:r w:rsidRPr="00FB1825">
        <w:rPr>
          <w:b/>
          <w:bCs/>
          <w:i/>
          <w:iCs/>
          <w:sz w:val="28"/>
          <w:szCs w:val="28"/>
        </w:rPr>
        <w:t>3395. Heat Illness Prevention in Outdoor Places of Employment</w:t>
      </w:r>
      <w:r w:rsidRPr="000E1621">
        <w:rPr>
          <w:rFonts w:eastAsia="Times New Roman" w:cs="Times New Roman"/>
          <w:color w:val="000000"/>
          <w:kern w:val="0"/>
          <w14:ligatures w14:val="none"/>
        </w:rPr>
        <w:t xml:space="preserve"> </w:t>
      </w:r>
    </w:p>
    <w:p w14:paraId="43C0D478" w14:textId="320F4B49" w:rsidR="000F140B" w:rsidRDefault="000F140B" w:rsidP="008E4584">
      <w:pPr>
        <w:shd w:val="clear" w:color="auto" w:fill="FFFFFF" w:themeFill="background1"/>
        <w:spacing w:before="120" w:after="0" w:line="240" w:lineRule="auto"/>
        <w:ind w:left="360" w:hanging="360"/>
        <w:rPr>
          <w:rFonts w:eastAsia="Times New Roman" w:cs="Times New Roman"/>
          <w:color w:val="000000"/>
          <w:kern w:val="0"/>
          <w14:ligatures w14:val="none"/>
        </w:rPr>
      </w:pPr>
      <w:r>
        <w:rPr>
          <w:rFonts w:eastAsia="Times New Roman" w:cs="Times New Roman"/>
          <w:color w:val="000000"/>
          <w:kern w:val="0"/>
          <w14:ligatures w14:val="none"/>
        </w:rPr>
        <w:t>* * * * *</w:t>
      </w:r>
    </w:p>
    <w:p w14:paraId="784592E8" w14:textId="525C8E02" w:rsidR="000E1621" w:rsidRDefault="00784C2E" w:rsidP="002274CA">
      <w:pPr>
        <w:shd w:val="clear" w:color="auto" w:fill="FFFFFF" w:themeFill="background1"/>
        <w:spacing w:before="120" w:line="240" w:lineRule="auto"/>
        <w:ind w:left="360" w:hanging="360"/>
        <w:rPr>
          <w:rFonts w:eastAsia="Times New Roman" w:cs="Arial"/>
          <w:color w:val="212121"/>
          <w:kern w:val="0"/>
          <w14:ligatures w14:val="none"/>
        </w:rPr>
      </w:pPr>
      <w:r w:rsidRPr="000E1621">
        <w:rPr>
          <w:rFonts w:eastAsia="Times New Roman" w:cs="Times New Roman"/>
          <w:color w:val="000000"/>
          <w:kern w:val="0"/>
          <w14:ligatures w14:val="none"/>
        </w:rPr>
        <w:t>(</w:t>
      </w:r>
      <w:r w:rsidR="000E1621">
        <w:rPr>
          <w:rFonts w:eastAsia="Times New Roman" w:cs="Times New Roman"/>
          <w:color w:val="000000"/>
          <w:kern w:val="0"/>
          <w14:ligatures w14:val="none"/>
        </w:rPr>
        <w:t>i</w:t>
      </w:r>
      <w:r w:rsidRPr="000E1621">
        <w:rPr>
          <w:rFonts w:eastAsia="Times New Roman" w:cs="Times New Roman"/>
          <w:color w:val="000000"/>
          <w:kern w:val="0"/>
          <w14:ligatures w14:val="none"/>
        </w:rPr>
        <w:t xml:space="preserve">)  </w:t>
      </w:r>
      <w:r w:rsidR="000E1621" w:rsidRPr="000E1621">
        <w:rPr>
          <w:rFonts w:eastAsia="Times New Roman" w:cs="Arial"/>
          <w:color w:val="212121"/>
          <w:kern w:val="0"/>
          <w14:ligatures w14:val="none"/>
        </w:rPr>
        <w:t>Heat Illness Prevention Plan. The employer shall establish, implement, and maintain, an effective heat illness prevention plan. The plan shall be in writing in both English and the language understood by the majority of the employees and shall be made available at the worksite to employees and to representatives of the Division upon request</w:t>
      </w:r>
      <w:r w:rsidR="62F60D54" w:rsidRPr="000E1621">
        <w:rPr>
          <w:rFonts w:eastAsia="Times New Roman" w:cs="Arial"/>
          <w:color w:val="212121"/>
          <w:kern w:val="0"/>
          <w14:ligatures w14:val="none"/>
        </w:rPr>
        <w:t xml:space="preserve">. </w:t>
      </w:r>
      <w:r w:rsidR="62F60D54" w:rsidRPr="005B000A">
        <w:rPr>
          <w:rFonts w:eastAsia="Times New Roman" w:cs="Arial"/>
          <w:color w:val="212121"/>
          <w:kern w:val="0"/>
          <w:u w:val="thick"/>
          <w14:ligatures w14:val="none"/>
        </w:rPr>
        <w:t>The plan shall be distributed to new employees upon hire</w:t>
      </w:r>
      <w:r w:rsidR="00184200" w:rsidRPr="005B000A">
        <w:rPr>
          <w:rFonts w:eastAsia="Times New Roman" w:cs="Arial"/>
          <w:color w:val="212121"/>
          <w:kern w:val="0"/>
          <w:u w:val="thick"/>
          <w14:ligatures w14:val="none"/>
        </w:rPr>
        <w:t>,</w:t>
      </w:r>
      <w:r w:rsidR="3572C259" w:rsidRPr="005B000A">
        <w:rPr>
          <w:rFonts w:eastAsia="Times New Roman" w:cs="Arial"/>
          <w:color w:val="212121"/>
          <w:kern w:val="0"/>
          <w:u w:val="thick"/>
          <w14:ligatures w14:val="none"/>
        </w:rPr>
        <w:t xml:space="preserve"> during </w:t>
      </w:r>
      <w:r w:rsidR="5F033D84" w:rsidRPr="005B000A">
        <w:rPr>
          <w:rFonts w:eastAsia="Times New Roman" w:cs="Arial"/>
          <w:color w:val="212121"/>
          <w:kern w:val="0"/>
          <w:u w:val="thick"/>
          <w14:ligatures w14:val="none"/>
        </w:rPr>
        <w:t>heat illness prevention training,</w:t>
      </w:r>
      <w:r w:rsidR="000E1621" w:rsidRPr="005B000A">
        <w:rPr>
          <w:rFonts w:eastAsia="Times New Roman" w:cs="Arial"/>
          <w:color w:val="212121"/>
          <w:kern w:val="0"/>
          <w:u w:val="thick"/>
          <w14:ligatures w14:val="none"/>
        </w:rPr>
        <w:t xml:space="preserve"> and to every employee at least once a year. </w:t>
      </w:r>
      <w:r w:rsidR="00FF52BA" w:rsidRPr="005B000A">
        <w:rPr>
          <w:rFonts w:eastAsia="Times New Roman" w:cs="Arial"/>
          <w:color w:val="212121"/>
          <w:kern w:val="0"/>
          <w:u w:val="thick"/>
          <w14:ligatures w14:val="none"/>
        </w:rPr>
        <w:t xml:space="preserve">Employers are not required to distribute </w:t>
      </w:r>
      <w:r w:rsidR="00BF29C5" w:rsidRPr="005B000A">
        <w:rPr>
          <w:rFonts w:eastAsia="Times New Roman" w:cs="Arial"/>
          <w:color w:val="212121"/>
          <w:kern w:val="0"/>
          <w:u w:val="thick"/>
          <w14:ligatures w14:val="none"/>
        </w:rPr>
        <w:t xml:space="preserve">the plan to an employee more </w:t>
      </w:r>
      <w:r w:rsidR="00585122" w:rsidRPr="005B000A">
        <w:rPr>
          <w:rFonts w:eastAsia="Times New Roman" w:cs="Arial"/>
          <w:color w:val="212121"/>
          <w:kern w:val="0"/>
          <w:u w:val="thick"/>
          <w14:ligatures w14:val="none"/>
        </w:rPr>
        <w:t>than</w:t>
      </w:r>
      <w:r w:rsidR="00BF29C5" w:rsidRPr="005B000A">
        <w:rPr>
          <w:rFonts w:eastAsia="Times New Roman" w:cs="Arial"/>
          <w:color w:val="212121"/>
          <w:kern w:val="0"/>
          <w:u w:val="thick"/>
          <w14:ligatures w14:val="none"/>
        </w:rPr>
        <w:t xml:space="preserve"> twice a year.</w:t>
      </w:r>
      <w:r w:rsidR="00BF29C5" w:rsidRPr="00EB5008">
        <w:rPr>
          <w:rFonts w:eastAsia="Times New Roman" w:cs="Arial"/>
          <w:color w:val="212121"/>
          <w:kern w:val="0"/>
          <w14:ligatures w14:val="none"/>
        </w:rPr>
        <w:t xml:space="preserve"> </w:t>
      </w:r>
      <w:r w:rsidR="000E1621" w:rsidRPr="000E1621">
        <w:rPr>
          <w:rFonts w:eastAsia="Times New Roman" w:cs="Arial"/>
          <w:color w:val="212121"/>
          <w:kern w:val="0"/>
          <w14:ligatures w14:val="none"/>
        </w:rPr>
        <w:t>The Heat Illness Prevention Plan may be included as part of the employer's Illness and Injury Prevention Program required by section 3203, and shall, at a minimum, contain:</w:t>
      </w:r>
    </w:p>
    <w:p w14:paraId="4D60B65D" w14:textId="0DB1C7AB" w:rsidR="000E1621" w:rsidRPr="000E1621" w:rsidRDefault="000E1621" w:rsidP="000E1621">
      <w:pPr>
        <w:shd w:val="clear" w:color="auto" w:fill="FFFFFF"/>
        <w:ind w:left="360"/>
        <w:rPr>
          <w:rFonts w:eastAsia="Times New Roman" w:cs="Arial"/>
          <w:color w:val="212121"/>
          <w:kern w:val="0"/>
          <w14:ligatures w14:val="none"/>
        </w:rPr>
      </w:pPr>
      <w:r w:rsidRPr="000E1621">
        <w:rPr>
          <w:rFonts w:eastAsia="Times New Roman" w:cs="Arial"/>
          <w:color w:val="212121"/>
          <w:kern w:val="0"/>
          <w14:ligatures w14:val="none"/>
        </w:rPr>
        <w:t>(1) Procedures for the provision of water and access to shade.</w:t>
      </w:r>
    </w:p>
    <w:p w14:paraId="1240F304" w14:textId="77777777" w:rsidR="000E1621" w:rsidRPr="000E1621" w:rsidRDefault="000E1621" w:rsidP="000E1621">
      <w:pPr>
        <w:shd w:val="clear" w:color="auto" w:fill="FFFFFF"/>
        <w:ind w:left="360"/>
        <w:rPr>
          <w:rFonts w:eastAsia="Times New Roman" w:cs="Arial"/>
          <w:color w:val="212121"/>
          <w:kern w:val="0"/>
          <w14:ligatures w14:val="none"/>
        </w:rPr>
      </w:pPr>
      <w:r w:rsidRPr="000E1621">
        <w:rPr>
          <w:rFonts w:eastAsia="Times New Roman" w:cs="Arial"/>
          <w:color w:val="212121"/>
          <w:kern w:val="0"/>
          <w14:ligatures w14:val="none"/>
        </w:rPr>
        <w:t>(2) The high heat procedures referred to in subsection (e).</w:t>
      </w:r>
    </w:p>
    <w:p w14:paraId="60B7A323" w14:textId="77777777" w:rsidR="000E1621" w:rsidRPr="000E1621" w:rsidRDefault="000E1621" w:rsidP="000E1621">
      <w:pPr>
        <w:shd w:val="clear" w:color="auto" w:fill="FFFFFF"/>
        <w:ind w:left="360"/>
        <w:rPr>
          <w:rFonts w:eastAsia="Times New Roman" w:cs="Arial"/>
          <w:color w:val="212121"/>
          <w:kern w:val="0"/>
          <w14:ligatures w14:val="none"/>
        </w:rPr>
      </w:pPr>
      <w:r w:rsidRPr="000E1621">
        <w:rPr>
          <w:rFonts w:eastAsia="Times New Roman" w:cs="Arial"/>
          <w:color w:val="212121"/>
          <w:kern w:val="0"/>
          <w14:ligatures w14:val="none"/>
        </w:rPr>
        <w:t>(3) Emergency Response Procedures in accordance with subsection (f).</w:t>
      </w:r>
    </w:p>
    <w:p w14:paraId="171AC09A" w14:textId="77777777" w:rsidR="001C63F6" w:rsidRPr="00C31FAD" w:rsidRDefault="000E1621" w:rsidP="001C63F6">
      <w:pPr>
        <w:shd w:val="clear" w:color="auto" w:fill="FFFFFF"/>
        <w:ind w:left="720" w:hanging="360"/>
        <w:rPr>
          <w:rFonts w:eastAsia="Times New Roman" w:cs="Times New Roman"/>
          <w:color w:val="000000"/>
          <w:kern w:val="0"/>
          <w14:ligatures w14:val="none"/>
        </w:rPr>
      </w:pPr>
      <w:r w:rsidRPr="000E1621">
        <w:rPr>
          <w:rFonts w:eastAsia="Times New Roman" w:cs="Arial"/>
          <w:color w:val="212121"/>
          <w:kern w:val="0"/>
          <w14:ligatures w14:val="none"/>
        </w:rPr>
        <w:t>(4) Acclimatization methods and procedures in accordance with subsection (g).</w:t>
      </w:r>
    </w:p>
    <w:tbl>
      <w:tblPr>
        <w:tblStyle w:val="TableGrid"/>
        <w:tblW w:w="0" w:type="auto"/>
        <w:tblInd w:w="85" w:type="dxa"/>
        <w:tblCellMar>
          <w:top w:w="58" w:type="dxa"/>
          <w:bottom w:w="58" w:type="dxa"/>
        </w:tblCellMar>
        <w:tblLook w:val="04A0" w:firstRow="1" w:lastRow="0" w:firstColumn="1" w:lastColumn="0" w:noHBand="0" w:noVBand="1"/>
      </w:tblPr>
      <w:tblGrid>
        <w:gridCol w:w="9265"/>
      </w:tblGrid>
      <w:tr w:rsidR="001C63F6" w14:paraId="6C94B2D1" w14:textId="77777777" w:rsidTr="005B000A">
        <w:tc>
          <w:tcPr>
            <w:tcW w:w="9265" w:type="dxa"/>
            <w:shd w:val="clear" w:color="auto" w:fill="FFFF00"/>
          </w:tcPr>
          <w:p w14:paraId="785B95F4" w14:textId="2367774F" w:rsidR="001C63F6" w:rsidRPr="0071631D" w:rsidRDefault="001C63F6">
            <w:pPr>
              <w:rPr>
                <w:i/>
                <w:iCs/>
              </w:rPr>
            </w:pPr>
            <w:r w:rsidRPr="005B000A">
              <w:rPr>
                <w:i/>
                <w:iCs/>
              </w:rPr>
              <w:t>The new language in subsection (i) will implement Labor Code section 6721.</w:t>
            </w:r>
            <w:r w:rsidR="00710810" w:rsidRPr="005B000A">
              <w:rPr>
                <w:i/>
                <w:iCs/>
              </w:rPr>
              <w:t xml:space="preserve"> </w:t>
            </w:r>
            <w:r w:rsidR="004154EE" w:rsidRPr="005B000A">
              <w:rPr>
                <w:i/>
                <w:iCs/>
              </w:rPr>
              <w:t xml:space="preserve">Electronic </w:t>
            </w:r>
            <w:r w:rsidR="009E5AD7" w:rsidRPr="005B000A">
              <w:rPr>
                <w:i/>
                <w:iCs/>
              </w:rPr>
              <w:t xml:space="preserve">distribution </w:t>
            </w:r>
            <w:r w:rsidR="004154EE" w:rsidRPr="005B000A">
              <w:rPr>
                <w:i/>
                <w:iCs/>
              </w:rPr>
              <w:t xml:space="preserve">(in lieu of hardcopies) </w:t>
            </w:r>
            <w:r w:rsidR="009E5AD7" w:rsidRPr="005B000A">
              <w:rPr>
                <w:i/>
                <w:iCs/>
              </w:rPr>
              <w:t>of the employer’s program would be permitted for employees able to receive</w:t>
            </w:r>
            <w:r w:rsidR="004154EE" w:rsidRPr="005B000A">
              <w:rPr>
                <w:i/>
                <w:iCs/>
              </w:rPr>
              <w:t xml:space="preserve"> electronic copies.</w:t>
            </w:r>
          </w:p>
        </w:tc>
      </w:tr>
    </w:tbl>
    <w:p w14:paraId="3EBB5495" w14:textId="0185417C" w:rsidR="000F140B" w:rsidRDefault="000F140B" w:rsidP="00B341FB">
      <w:pPr>
        <w:shd w:val="clear" w:color="auto" w:fill="FFFFFF"/>
        <w:rPr>
          <w:rFonts w:eastAsia="Times New Roman" w:cs="Times New Roman"/>
          <w:color w:val="000000"/>
          <w:kern w:val="0"/>
          <w14:ligatures w14:val="none"/>
        </w:rPr>
      </w:pPr>
    </w:p>
    <w:p w14:paraId="702DDAA8" w14:textId="77777777" w:rsidR="000F140B" w:rsidRDefault="000F140B">
      <w:pPr>
        <w:rPr>
          <w:rFonts w:eastAsia="Times New Roman" w:cs="Times New Roman"/>
          <w:color w:val="000000"/>
          <w:kern w:val="0"/>
          <w14:ligatures w14:val="none"/>
        </w:rPr>
      </w:pPr>
      <w:r>
        <w:rPr>
          <w:rFonts w:eastAsia="Times New Roman" w:cs="Times New Roman"/>
          <w:color w:val="000000"/>
          <w:kern w:val="0"/>
          <w14:ligatures w14:val="none"/>
        </w:rPr>
        <w:br w:type="page"/>
      </w:r>
    </w:p>
    <w:p w14:paraId="2A2A4A1B" w14:textId="6A9DECE6" w:rsidR="000F140B" w:rsidRPr="000F140B" w:rsidRDefault="000F140B" w:rsidP="005E014A">
      <w:pPr>
        <w:spacing w:after="0"/>
        <w:ind w:left="-360"/>
        <w:rPr>
          <w:b/>
          <w:bCs/>
          <w:sz w:val="28"/>
          <w:szCs w:val="28"/>
        </w:rPr>
      </w:pPr>
      <w:r w:rsidRPr="000F140B">
        <w:rPr>
          <w:b/>
          <w:bCs/>
          <w:i/>
          <w:iCs/>
          <w:sz w:val="28"/>
          <w:szCs w:val="28"/>
        </w:rPr>
        <w:lastRenderedPageBreak/>
        <w:t>3396. Heat Illness Prevention in Indoor Places of Employment</w:t>
      </w:r>
    </w:p>
    <w:p w14:paraId="4FFC1F6C" w14:textId="77777777" w:rsidR="005E014A" w:rsidRDefault="005E014A" w:rsidP="002274CA">
      <w:pPr>
        <w:spacing w:before="120" w:after="0"/>
        <w:ind w:left="360" w:hanging="360"/>
      </w:pPr>
      <w:r>
        <w:t xml:space="preserve">* * * * </w:t>
      </w:r>
    </w:p>
    <w:p w14:paraId="3369C28E" w14:textId="56568368" w:rsidR="000F140B" w:rsidRDefault="000F140B" w:rsidP="000F140B">
      <w:pPr>
        <w:ind w:left="360" w:hanging="360"/>
      </w:pPr>
      <w:r>
        <w:t>(g)  Acclimatization</w:t>
      </w:r>
    </w:p>
    <w:p w14:paraId="7B5985C4" w14:textId="77777777" w:rsidR="000F140B" w:rsidRPr="000C53F5" w:rsidRDefault="000F140B" w:rsidP="000F140B">
      <w:pPr>
        <w:shd w:val="clear" w:color="auto" w:fill="FFFFFF"/>
        <w:spacing w:line="240" w:lineRule="auto"/>
        <w:ind w:left="720" w:hanging="360"/>
        <w:rPr>
          <w:rFonts w:eastAsia="Times New Roman" w:cs="Times New Roman"/>
          <w:color w:val="000000"/>
          <w:kern w:val="0"/>
          <w14:ligatures w14:val="none"/>
        </w:rPr>
      </w:pPr>
      <w:r w:rsidRPr="006A04EC">
        <w:rPr>
          <w:rFonts w:eastAsia="Times New Roman" w:cs="Times New Roman"/>
          <w:color w:val="000000"/>
          <w:kern w:val="0"/>
          <w14:ligatures w14:val="none"/>
        </w:rPr>
        <w:t>(1)</w:t>
      </w:r>
      <w:r w:rsidRPr="000C53F5">
        <w:rPr>
          <w:rFonts w:eastAsia="Times New Roman" w:cs="Times New Roman"/>
          <w:color w:val="000000"/>
          <w:kern w:val="0"/>
          <w14:ligatures w14:val="none"/>
        </w:rPr>
        <w:t xml:space="preserve"> Where no effective engineering controls are in use to control the effect of outdoor</w:t>
      </w:r>
      <w:r>
        <w:rPr>
          <w:rFonts w:eastAsia="Times New Roman" w:cs="Times New Roman"/>
          <w:color w:val="000000"/>
          <w:kern w:val="0"/>
          <w14:ligatures w14:val="none"/>
        </w:rPr>
        <w:t xml:space="preserve"> </w:t>
      </w:r>
      <w:r w:rsidRPr="000C53F5">
        <w:rPr>
          <w:rFonts w:eastAsia="Times New Roman" w:cs="Times New Roman"/>
          <w:color w:val="000000"/>
          <w:kern w:val="0"/>
          <w14:ligatures w14:val="none"/>
        </w:rPr>
        <w:t>heat on indoor temperature, all employees shall be closely observed by a supervisor or designee during a heat wave.</w:t>
      </w:r>
    </w:p>
    <w:p w14:paraId="346DBBA5" w14:textId="77777777" w:rsidR="000F140B" w:rsidRPr="000C53F5" w:rsidRDefault="000F140B" w:rsidP="000F140B">
      <w:pPr>
        <w:shd w:val="clear" w:color="auto" w:fill="FFFFFF"/>
        <w:spacing w:line="240" w:lineRule="auto"/>
        <w:ind w:left="720" w:hanging="360"/>
        <w:rPr>
          <w:rFonts w:eastAsia="Times New Roman" w:cs="Times New Roman"/>
          <w:color w:val="000000"/>
          <w:kern w:val="0"/>
          <w14:ligatures w14:val="none"/>
        </w:rPr>
      </w:pPr>
      <w:r w:rsidRPr="006A04EC">
        <w:rPr>
          <w:rFonts w:eastAsia="Times New Roman" w:cs="Times New Roman"/>
          <w:color w:val="000000"/>
          <w:kern w:val="0"/>
          <w14:ligatures w14:val="none"/>
        </w:rPr>
        <w:t>(2)</w:t>
      </w:r>
      <w:r w:rsidRPr="000C53F5">
        <w:rPr>
          <w:rFonts w:eastAsia="Times New Roman" w:cs="Times New Roman"/>
          <w:color w:val="000000"/>
          <w:kern w:val="0"/>
          <w14:ligatures w14:val="none"/>
        </w:rPr>
        <w:t xml:space="preserve"> An employee who has been newly assigned to any of the following shall be closely</w:t>
      </w:r>
      <w:r>
        <w:rPr>
          <w:rFonts w:eastAsia="Times New Roman" w:cs="Times New Roman"/>
          <w:color w:val="000000"/>
          <w:kern w:val="0"/>
          <w14:ligatures w14:val="none"/>
        </w:rPr>
        <w:t xml:space="preserve"> </w:t>
      </w:r>
      <w:r w:rsidRPr="000C53F5">
        <w:rPr>
          <w:rFonts w:eastAsia="Times New Roman" w:cs="Times New Roman"/>
          <w:color w:val="000000"/>
          <w:kern w:val="0"/>
          <w14:ligatures w14:val="none"/>
        </w:rPr>
        <w:t>observed by a supervisor or designee for the first 14 days of employment:</w:t>
      </w:r>
    </w:p>
    <w:p w14:paraId="70C48420" w14:textId="77777777" w:rsidR="000F140B" w:rsidRPr="000C53F5" w:rsidRDefault="000F140B" w:rsidP="000F140B">
      <w:pPr>
        <w:shd w:val="clear" w:color="auto" w:fill="FFFFFF"/>
        <w:spacing w:line="240" w:lineRule="auto"/>
        <w:ind w:left="1080" w:hanging="360"/>
        <w:rPr>
          <w:rFonts w:eastAsia="Times New Roman" w:cs="Times New Roman"/>
          <w:color w:val="000000"/>
          <w:kern w:val="0"/>
          <w14:ligatures w14:val="none"/>
        </w:rPr>
      </w:pPr>
      <w:r w:rsidRPr="000C53F5">
        <w:rPr>
          <w:rFonts w:eastAsia="Times New Roman" w:cs="Times New Roman"/>
          <w:color w:val="000000"/>
          <w:kern w:val="0"/>
          <w14:ligatures w14:val="none"/>
        </w:rPr>
        <w:t>(A) In a work area where the temperature or heat index, whichever is greater, equals</w:t>
      </w:r>
      <w:r>
        <w:rPr>
          <w:rFonts w:eastAsia="Times New Roman" w:cs="Times New Roman"/>
          <w:color w:val="000000"/>
          <w:kern w:val="0"/>
          <w14:ligatures w14:val="none"/>
        </w:rPr>
        <w:t xml:space="preserve"> </w:t>
      </w:r>
      <w:r w:rsidRPr="000C53F5">
        <w:rPr>
          <w:rFonts w:eastAsia="Times New Roman" w:cs="Times New Roman"/>
          <w:color w:val="000000"/>
          <w:kern w:val="0"/>
          <w14:ligatures w14:val="none"/>
        </w:rPr>
        <w:t>or exceeds 87 degrees Fahrenheit; or</w:t>
      </w:r>
    </w:p>
    <w:p w14:paraId="3E0DC200" w14:textId="77777777" w:rsidR="000F140B" w:rsidRPr="000C53F5" w:rsidRDefault="000F140B" w:rsidP="000F140B">
      <w:pPr>
        <w:shd w:val="clear" w:color="auto" w:fill="FFFFFF"/>
        <w:spacing w:line="240" w:lineRule="auto"/>
        <w:ind w:left="1080" w:hanging="360"/>
        <w:rPr>
          <w:rFonts w:eastAsia="Times New Roman" w:cs="Times New Roman"/>
          <w:color w:val="000000"/>
          <w:kern w:val="0"/>
          <w14:ligatures w14:val="none"/>
        </w:rPr>
      </w:pPr>
      <w:r w:rsidRPr="000C53F5">
        <w:rPr>
          <w:rFonts w:eastAsia="Times New Roman" w:cs="Times New Roman"/>
          <w:color w:val="000000"/>
          <w:kern w:val="0"/>
          <w14:ligatures w14:val="none"/>
        </w:rPr>
        <w:t>(B) In a work area where the temperature equals or exceeds 82 degrees Fahrenheit for employees who wear clothing that restricts heat removal; or</w:t>
      </w:r>
    </w:p>
    <w:p w14:paraId="30D855F0" w14:textId="77777777" w:rsidR="000F140B" w:rsidRDefault="000F140B" w:rsidP="000F140B">
      <w:pPr>
        <w:shd w:val="clear" w:color="auto" w:fill="FFFFFF"/>
        <w:spacing w:line="240" w:lineRule="auto"/>
        <w:ind w:left="1080" w:hanging="360"/>
        <w:rPr>
          <w:rFonts w:eastAsia="Times New Roman" w:cs="Times New Roman"/>
          <w:color w:val="000000"/>
          <w:kern w:val="0"/>
          <w14:ligatures w14:val="none"/>
        </w:rPr>
      </w:pPr>
      <w:r w:rsidRPr="000C53F5">
        <w:rPr>
          <w:rFonts w:eastAsia="Times New Roman" w:cs="Times New Roman"/>
          <w:color w:val="000000"/>
          <w:kern w:val="0"/>
          <w14:ligatures w14:val="none"/>
        </w:rPr>
        <w:t>(C) In a high radiant heat area where the temperature equals or exceeds 82 degrees</w:t>
      </w:r>
      <w:r>
        <w:rPr>
          <w:rFonts w:eastAsia="Times New Roman" w:cs="Times New Roman"/>
          <w:color w:val="000000"/>
          <w:kern w:val="0"/>
          <w14:ligatures w14:val="none"/>
        </w:rPr>
        <w:t xml:space="preserve"> </w:t>
      </w:r>
      <w:r w:rsidRPr="000C53F5">
        <w:rPr>
          <w:rFonts w:eastAsia="Times New Roman" w:cs="Times New Roman"/>
          <w:color w:val="000000"/>
          <w:kern w:val="0"/>
          <w14:ligatures w14:val="none"/>
        </w:rPr>
        <w:t>Fahrenheit.</w:t>
      </w:r>
    </w:p>
    <w:p w14:paraId="7665AD27" w14:textId="77777777" w:rsidR="000F140B" w:rsidRPr="0014149E" w:rsidRDefault="000F140B" w:rsidP="000F140B">
      <w:pPr>
        <w:shd w:val="clear" w:color="auto" w:fill="FFFFFF" w:themeFill="background1"/>
        <w:spacing w:before="120" w:after="120"/>
        <w:ind w:left="720" w:hanging="360"/>
        <w:rPr>
          <w:rFonts w:eastAsia="Times New Roman" w:cs="Times New Roman"/>
          <w:color w:val="000000"/>
          <w:kern w:val="0"/>
          <w:u w:val="thick"/>
          <w14:ligatures w14:val="none"/>
        </w:rPr>
      </w:pPr>
      <w:r w:rsidRPr="0014149E">
        <w:rPr>
          <w:u w:val="thick"/>
        </w:rPr>
        <w:t>(3)</w:t>
      </w:r>
      <w:r w:rsidRPr="0014149E">
        <w:rPr>
          <w:u w:val="thick"/>
        </w:rPr>
        <w:tab/>
        <w:t>For new employees and returning employees, the employer shall either implement subsection (e)(2), except (e)(2)(A) engineering controls, for unacclimatized employees for 5 working days, or implement the following work schedules:</w:t>
      </w:r>
    </w:p>
    <w:tbl>
      <w:tblPr>
        <w:tblStyle w:val="TableGrid"/>
        <w:tblW w:w="8820" w:type="dxa"/>
        <w:tblInd w:w="1165" w:type="dxa"/>
        <w:shd w:val="clear" w:color="auto" w:fill="FFFF00"/>
        <w:tblCellMar>
          <w:top w:w="58" w:type="dxa"/>
          <w:bottom w:w="58" w:type="dxa"/>
        </w:tblCellMar>
        <w:tblLook w:val="04A0" w:firstRow="1" w:lastRow="0" w:firstColumn="1" w:lastColumn="0" w:noHBand="0" w:noVBand="1"/>
      </w:tblPr>
      <w:tblGrid>
        <w:gridCol w:w="8820"/>
      </w:tblGrid>
      <w:tr w:rsidR="000F140B" w14:paraId="56749C8D" w14:textId="77777777" w:rsidTr="0001254D">
        <w:tc>
          <w:tcPr>
            <w:tcW w:w="8820" w:type="dxa"/>
            <w:shd w:val="clear" w:color="auto" w:fill="FFFF00"/>
          </w:tcPr>
          <w:p w14:paraId="35B0B09F" w14:textId="77777777" w:rsidR="000F140B" w:rsidRPr="0071631D" w:rsidRDefault="000F140B" w:rsidP="0001254D">
            <w:pPr>
              <w:rPr>
                <w:i/>
                <w:iCs/>
              </w:rPr>
            </w:pPr>
            <w:r w:rsidRPr="0014149E">
              <w:rPr>
                <w:i/>
                <w:iCs/>
              </w:rPr>
              <w:t xml:space="preserve">New subsection (g)(3) is from provisions in </w:t>
            </w:r>
            <w:hyperlink r:id="rId15" w:history="1">
              <w:r w:rsidRPr="0014149E">
                <w:rPr>
                  <w:rStyle w:val="Hyperlink"/>
                  <w:i/>
                  <w:iCs/>
                </w:rPr>
                <w:t>OSHA, Heat Injury and Illness Prevention in Outdoor and Indoor Work Settings</w:t>
              </w:r>
            </w:hyperlink>
            <w:r w:rsidRPr="0014149E">
              <w:rPr>
                <w:i/>
                <w:iCs/>
              </w:rPr>
              <w:t xml:space="preserve"> (proposed rule published on 8/30/2024) that allow the employer to implement requirements applicable at or above OSHA’s “high heat trigger” instead of implementing the work schedules set forth below.</w:t>
            </w:r>
          </w:p>
        </w:tc>
      </w:tr>
    </w:tbl>
    <w:p w14:paraId="52A6B06D" w14:textId="77777777" w:rsidR="000F140B" w:rsidRPr="0014149E" w:rsidRDefault="000F140B" w:rsidP="000F140B">
      <w:pPr>
        <w:spacing w:before="160"/>
        <w:ind w:left="1080" w:hanging="360"/>
        <w:rPr>
          <w:u w:val="thick"/>
        </w:rPr>
      </w:pPr>
      <w:r w:rsidRPr="0014149E">
        <w:rPr>
          <w:u w:val="thick"/>
        </w:rPr>
        <w:t>(A)</w:t>
      </w:r>
      <w:r w:rsidRPr="0014149E">
        <w:rPr>
          <w:u w:val="thick"/>
        </w:rPr>
        <w:tab/>
        <w:t>For a new employee, the employee’s exposure to heat shall be restricted to no more than 20% of the usual work duration on the first day of work, 40% on the second day of work, 60% on the third day of work, and 80% on the fourth day of work.</w:t>
      </w:r>
    </w:p>
    <w:p w14:paraId="5FCB3251" w14:textId="77777777" w:rsidR="000F140B" w:rsidRPr="0014149E" w:rsidRDefault="000F140B" w:rsidP="000F140B">
      <w:pPr>
        <w:ind w:left="1080" w:hanging="360"/>
        <w:rPr>
          <w:u w:val="thick"/>
        </w:rPr>
      </w:pPr>
      <w:r w:rsidRPr="0014149E">
        <w:rPr>
          <w:u w:val="thick"/>
        </w:rPr>
        <w:t>(B)</w:t>
      </w:r>
      <w:r w:rsidRPr="0014149E">
        <w:rPr>
          <w:u w:val="thick"/>
        </w:rPr>
        <w:tab/>
        <w:t>For a returning employee who has been away for more than 14 days, the employee’s exposure to heat shall be restricted to no more than 50% of the usual work duration on the first day of work, 60% on the second day of work, and 80% on the third day of work.</w:t>
      </w:r>
    </w:p>
    <w:tbl>
      <w:tblPr>
        <w:tblStyle w:val="TableGrid"/>
        <w:tblW w:w="8820" w:type="dxa"/>
        <w:tblInd w:w="1165" w:type="dxa"/>
        <w:tblCellMar>
          <w:top w:w="58" w:type="dxa"/>
          <w:bottom w:w="58" w:type="dxa"/>
        </w:tblCellMar>
        <w:tblLook w:val="04A0" w:firstRow="1" w:lastRow="0" w:firstColumn="1" w:lastColumn="0" w:noHBand="0" w:noVBand="1"/>
      </w:tblPr>
      <w:tblGrid>
        <w:gridCol w:w="8820"/>
      </w:tblGrid>
      <w:tr w:rsidR="000F140B" w14:paraId="34662842" w14:textId="77777777" w:rsidTr="0001254D">
        <w:tc>
          <w:tcPr>
            <w:tcW w:w="8820" w:type="dxa"/>
            <w:shd w:val="clear" w:color="auto" w:fill="FFFF00"/>
          </w:tcPr>
          <w:p w14:paraId="11563CC6" w14:textId="77777777" w:rsidR="000F140B" w:rsidRPr="003D3267" w:rsidRDefault="000F140B" w:rsidP="0001254D">
            <w:pPr>
              <w:rPr>
                <w:i/>
                <w:iCs/>
                <w:color w:val="467886" w:themeColor="hyperlink"/>
              </w:rPr>
            </w:pPr>
            <w:r w:rsidRPr="0014149E">
              <w:rPr>
                <w:i/>
                <w:iCs/>
              </w:rPr>
              <w:t xml:space="preserve">New subsections (g)(3)(A) and (g)(3)(B) will implement Labor Code section 6721. The percentage limits are from (1) requirements in </w:t>
            </w:r>
            <w:hyperlink r:id="rId16" w:history="1">
              <w:r w:rsidRPr="0014149E">
                <w:rPr>
                  <w:rStyle w:val="Hyperlink"/>
                  <w:i/>
                  <w:iCs/>
                </w:rPr>
                <w:t>OSHA, Heat Injury and Illness Prevention in Outdoor and Indoor Work Settings</w:t>
              </w:r>
            </w:hyperlink>
            <w:r w:rsidRPr="0014149E">
              <w:rPr>
                <w:i/>
                <w:iCs/>
              </w:rPr>
              <w:t xml:space="preserve"> (proposed rule published on 8/30/2024) and (2) recommendations in </w:t>
            </w:r>
            <w:hyperlink r:id="rId17">
              <w:r w:rsidRPr="0014149E">
                <w:rPr>
                  <w:rStyle w:val="Hyperlink"/>
                  <w:i/>
                  <w:iCs/>
                  <w:u w:val="none"/>
                </w:rPr>
                <w:t>NIOSH, Criteria for a Recommended Standard: Occupational Exposure to Heat and Hot Environments</w:t>
              </w:r>
            </w:hyperlink>
            <w:r w:rsidRPr="0014149E">
              <w:rPr>
                <w:i/>
                <w:iCs/>
              </w:rPr>
              <w:t>.</w:t>
            </w:r>
          </w:p>
        </w:tc>
      </w:tr>
    </w:tbl>
    <w:p w14:paraId="4E234BE2" w14:textId="77777777" w:rsidR="000F140B" w:rsidRPr="0014149E" w:rsidRDefault="000F140B" w:rsidP="000F140B">
      <w:pPr>
        <w:shd w:val="clear" w:color="auto" w:fill="FFFFFF" w:themeFill="background1"/>
        <w:spacing w:before="240"/>
        <w:ind w:left="720"/>
        <w:rPr>
          <w:u w:val="thick"/>
        </w:rPr>
      </w:pPr>
      <w:r w:rsidRPr="0014149E">
        <w:rPr>
          <w:u w:val="thick"/>
        </w:rPr>
        <w:t>EXCEPTION to subsections (g)(3)(A) and (g)(3)(B): The requirements of subsections (g)(3)(A) and (g)(3)(B) do not apply if the employer can demonstrate the employee consistently worked under the same or similar conditions as the employer’s working conditions within the prior 14 days.</w:t>
      </w:r>
    </w:p>
    <w:tbl>
      <w:tblPr>
        <w:tblStyle w:val="TableGrid"/>
        <w:tblW w:w="0" w:type="auto"/>
        <w:tblInd w:w="1165" w:type="dxa"/>
        <w:tblCellMar>
          <w:top w:w="58" w:type="dxa"/>
          <w:bottom w:w="58" w:type="dxa"/>
        </w:tblCellMar>
        <w:tblLook w:val="04A0" w:firstRow="1" w:lastRow="0" w:firstColumn="1" w:lastColumn="0" w:noHBand="0" w:noVBand="1"/>
      </w:tblPr>
      <w:tblGrid>
        <w:gridCol w:w="8730"/>
      </w:tblGrid>
      <w:tr w:rsidR="000F140B" w14:paraId="4A482C1D" w14:textId="77777777" w:rsidTr="0001254D">
        <w:tc>
          <w:tcPr>
            <w:tcW w:w="8730" w:type="dxa"/>
            <w:shd w:val="clear" w:color="auto" w:fill="FFFF00"/>
          </w:tcPr>
          <w:p w14:paraId="3B230A1F" w14:textId="77777777" w:rsidR="000F140B" w:rsidRPr="004752BD" w:rsidRDefault="000F140B" w:rsidP="0001254D">
            <w:pPr>
              <w:rPr>
                <w:i/>
                <w:iCs/>
              </w:rPr>
            </w:pPr>
            <w:r w:rsidRPr="0014149E">
              <w:rPr>
                <w:rFonts w:eastAsia="Times New Roman" w:cs="Times New Roman"/>
                <w:i/>
                <w:iCs/>
                <w:color w:val="000000" w:themeColor="text1"/>
              </w:rPr>
              <w:lastRenderedPageBreak/>
              <w:t>This EXCEPTION is based on the same exception in</w:t>
            </w:r>
            <w:r w:rsidRPr="0014149E">
              <w:rPr>
                <w:i/>
                <w:iCs/>
              </w:rPr>
              <w:t xml:space="preserve"> </w:t>
            </w:r>
            <w:hyperlink r:id="rId18" w:history="1">
              <w:r w:rsidRPr="0014149E">
                <w:rPr>
                  <w:rStyle w:val="Hyperlink"/>
                  <w:i/>
                  <w:iCs/>
                </w:rPr>
                <w:t>OSHA, Heat Injury and Illness Prevention in Outdoor and Indoor Work Settings</w:t>
              </w:r>
            </w:hyperlink>
            <w:r w:rsidRPr="0014149E">
              <w:rPr>
                <w:i/>
                <w:iCs/>
              </w:rPr>
              <w:t xml:space="preserve"> (proposed rule published on 8/30/2024).</w:t>
            </w:r>
          </w:p>
        </w:tc>
      </w:tr>
    </w:tbl>
    <w:p w14:paraId="4DD1411B" w14:textId="77777777" w:rsidR="000F140B" w:rsidRDefault="000F140B" w:rsidP="000F140B">
      <w:pPr>
        <w:pBdr>
          <w:bottom w:val="single" w:sz="12" w:space="1" w:color="auto"/>
        </w:pBdr>
        <w:shd w:val="clear" w:color="auto" w:fill="FFFFFF" w:themeFill="background1"/>
        <w:spacing w:before="240" w:line="240" w:lineRule="auto"/>
        <w:rPr>
          <w:rFonts w:eastAsia="Times New Roman" w:cs="Times New Roman"/>
          <w:color w:val="000000" w:themeColor="text1"/>
        </w:rPr>
      </w:pPr>
    </w:p>
    <w:p w14:paraId="75139814" w14:textId="77777777" w:rsidR="00D7694A" w:rsidRDefault="00D7694A" w:rsidP="000F140B">
      <w:pPr>
        <w:shd w:val="clear" w:color="auto" w:fill="FFFFFF" w:themeFill="background1"/>
        <w:spacing w:before="240" w:line="240" w:lineRule="auto"/>
        <w:rPr>
          <w:rFonts w:eastAsia="Times New Roman" w:cs="Times New Roman"/>
          <w:color w:val="000000"/>
          <w:kern w:val="0"/>
          <w14:ligatures w14:val="none"/>
        </w:rPr>
      </w:pPr>
    </w:p>
    <w:p w14:paraId="6E7BF2B9" w14:textId="77777777" w:rsidR="00D7694A" w:rsidRPr="000F140B" w:rsidRDefault="00D7694A" w:rsidP="00D7694A">
      <w:pPr>
        <w:spacing w:after="0"/>
        <w:ind w:left="-360"/>
        <w:rPr>
          <w:b/>
          <w:bCs/>
          <w:sz w:val="28"/>
          <w:szCs w:val="28"/>
        </w:rPr>
      </w:pPr>
      <w:r w:rsidRPr="000F140B">
        <w:rPr>
          <w:b/>
          <w:bCs/>
          <w:i/>
          <w:iCs/>
          <w:sz w:val="28"/>
          <w:szCs w:val="28"/>
        </w:rPr>
        <w:t>3396. Heat Illness Prevention in Indoor Places of Employment</w:t>
      </w:r>
    </w:p>
    <w:p w14:paraId="1C0E55AF" w14:textId="77777777" w:rsidR="00D7694A" w:rsidRDefault="00D7694A" w:rsidP="002274CA">
      <w:pPr>
        <w:shd w:val="clear" w:color="auto" w:fill="FFFFFF" w:themeFill="background1"/>
        <w:spacing w:before="120" w:after="0"/>
        <w:ind w:left="360" w:hanging="360"/>
        <w:rPr>
          <w:rFonts w:eastAsia="Times New Roman" w:cs="Times New Roman"/>
          <w:color w:val="000000"/>
          <w:kern w:val="0"/>
          <w14:ligatures w14:val="none"/>
        </w:rPr>
      </w:pPr>
      <w:r>
        <w:t>* * * *</w:t>
      </w:r>
      <w:r w:rsidRPr="000E1621">
        <w:rPr>
          <w:rFonts w:eastAsia="Times New Roman" w:cs="Times New Roman"/>
          <w:color w:val="000000"/>
          <w:kern w:val="0"/>
          <w14:ligatures w14:val="none"/>
        </w:rPr>
        <w:t xml:space="preserve"> </w:t>
      </w:r>
    </w:p>
    <w:p w14:paraId="3924763E" w14:textId="6F5B490C" w:rsidR="000F140B" w:rsidRDefault="000F140B" w:rsidP="00D7694A">
      <w:pPr>
        <w:shd w:val="clear" w:color="auto" w:fill="FFFFFF" w:themeFill="background1"/>
        <w:spacing w:before="240"/>
        <w:ind w:left="360" w:hanging="360"/>
        <w:rPr>
          <w:rFonts w:eastAsia="Times New Roman" w:cs="Arial"/>
          <w:color w:val="212121"/>
          <w:kern w:val="0"/>
          <w14:ligatures w14:val="none"/>
        </w:rPr>
      </w:pPr>
      <w:r w:rsidRPr="000E1621">
        <w:rPr>
          <w:rFonts w:eastAsia="Times New Roman" w:cs="Times New Roman"/>
          <w:color w:val="000000"/>
          <w:kern w:val="0"/>
          <w14:ligatures w14:val="none"/>
        </w:rPr>
        <w:t>(</w:t>
      </w:r>
      <w:r>
        <w:rPr>
          <w:rFonts w:eastAsia="Times New Roman" w:cs="Times New Roman"/>
          <w:color w:val="000000"/>
          <w:kern w:val="0"/>
          <w14:ligatures w14:val="none"/>
        </w:rPr>
        <w:t>i</w:t>
      </w:r>
      <w:r w:rsidRPr="000E1621">
        <w:rPr>
          <w:rFonts w:eastAsia="Times New Roman" w:cs="Times New Roman"/>
          <w:color w:val="000000"/>
          <w:kern w:val="0"/>
          <w14:ligatures w14:val="none"/>
        </w:rPr>
        <w:t xml:space="preserve">)  </w:t>
      </w:r>
      <w:r>
        <w:rPr>
          <w:rFonts w:eastAsia="Times New Roman" w:cs="Times New Roman"/>
          <w:color w:val="000000"/>
          <w:kern w:val="0"/>
          <w14:ligatures w14:val="none"/>
        </w:rPr>
        <w:t xml:space="preserve"> </w:t>
      </w:r>
      <w:r w:rsidRPr="000E1621">
        <w:rPr>
          <w:rFonts w:eastAsia="Times New Roman" w:cs="Arial"/>
          <w:color w:val="212121"/>
          <w:kern w:val="0"/>
          <w14:ligatures w14:val="none"/>
        </w:rPr>
        <w:t>Heat Illness Prevention Plan. The employer shall establish, implement, and maintain an effective heat illness prevention plan. The plan shall be in writing in both English and the language understood by the majority of the employees and shall be made available at the worksite to employees and to representatives of the Division upon request.</w:t>
      </w:r>
      <w:r w:rsidRPr="00F02D05">
        <w:rPr>
          <w:rFonts w:eastAsia="Times New Roman" w:cs="Arial"/>
          <w:color w:val="212121"/>
          <w:kern w:val="0"/>
          <w:u w:val="single"/>
          <w14:ligatures w14:val="none"/>
        </w:rPr>
        <w:t xml:space="preserve"> </w:t>
      </w:r>
      <w:r w:rsidRPr="0014149E">
        <w:rPr>
          <w:rFonts w:eastAsia="Times New Roman" w:cs="Arial"/>
          <w:color w:val="212121"/>
          <w:kern w:val="0"/>
          <w:u w:val="thick"/>
          <w14:ligatures w14:val="none"/>
        </w:rPr>
        <w:t>The plan shall be distributed to new employees upon hire, during heat illness prevention training, and to every employee at least once a year. Employers are not required to distribute the plan to an employee more than twice a year.</w:t>
      </w:r>
      <w:r w:rsidRPr="000E1621">
        <w:rPr>
          <w:rFonts w:eastAsia="Times New Roman" w:cs="Arial"/>
          <w:color w:val="212121"/>
          <w:kern w:val="0"/>
          <w14:ligatures w14:val="none"/>
        </w:rPr>
        <w:t xml:space="preserve"> The Heat Illness Prevention Plan may be included as part of the employer's Illness and Injury Prevention Program required by section 3203</w:t>
      </w:r>
      <w:r>
        <w:rPr>
          <w:rFonts w:eastAsia="Times New Roman" w:cs="Arial"/>
          <w:color w:val="212121"/>
          <w:kern w:val="0"/>
          <w14:ligatures w14:val="none"/>
        </w:rPr>
        <w:t xml:space="preserve"> or Heat Illness Prevention Plan required by section 3395</w:t>
      </w:r>
      <w:r w:rsidRPr="000E1621">
        <w:rPr>
          <w:rFonts w:eastAsia="Times New Roman" w:cs="Arial"/>
          <w:color w:val="212121"/>
          <w:kern w:val="0"/>
          <w14:ligatures w14:val="none"/>
        </w:rPr>
        <w:t xml:space="preserve"> and shall, at a minimum, contain:</w:t>
      </w:r>
    </w:p>
    <w:p w14:paraId="46D8FD31" w14:textId="77777777" w:rsidR="000F140B" w:rsidRDefault="000F140B" w:rsidP="000F140B">
      <w:pPr>
        <w:shd w:val="clear" w:color="auto" w:fill="FFFFFF"/>
        <w:ind w:left="720" w:hanging="360"/>
        <w:rPr>
          <w:rFonts w:eastAsia="Times New Roman" w:cs="Times New Roman"/>
          <w:color w:val="000000"/>
          <w:kern w:val="0"/>
          <w14:ligatures w14:val="none"/>
        </w:rPr>
      </w:pPr>
      <w:r w:rsidRPr="00F430E6">
        <w:rPr>
          <w:rFonts w:eastAsia="Times New Roman" w:cs="Times New Roman"/>
          <w:color w:val="000000"/>
          <w:kern w:val="0"/>
          <w14:ligatures w14:val="none"/>
        </w:rPr>
        <w:t>(1) Procedures for the provision of water in accordance with subsection (c).</w:t>
      </w:r>
    </w:p>
    <w:p w14:paraId="0D762462" w14:textId="77777777" w:rsidR="000F140B" w:rsidRDefault="000F140B" w:rsidP="000F140B">
      <w:pPr>
        <w:shd w:val="clear" w:color="auto" w:fill="FFFFFF"/>
        <w:ind w:left="720" w:hanging="360"/>
        <w:rPr>
          <w:rFonts w:eastAsia="Times New Roman" w:cs="Times New Roman"/>
          <w:color w:val="000000"/>
          <w:kern w:val="0"/>
          <w14:ligatures w14:val="none"/>
        </w:rPr>
      </w:pPr>
      <w:r w:rsidRPr="00F430E6">
        <w:rPr>
          <w:rFonts w:eastAsia="Times New Roman" w:cs="Times New Roman"/>
          <w:color w:val="000000"/>
          <w:kern w:val="0"/>
          <w14:ligatures w14:val="none"/>
        </w:rPr>
        <w:t>(2) Procedures for access to cool-down areas in accordance with subsection (d).</w:t>
      </w:r>
    </w:p>
    <w:p w14:paraId="085E8671" w14:textId="77777777" w:rsidR="000F140B" w:rsidRDefault="000F140B" w:rsidP="000F140B">
      <w:pPr>
        <w:ind w:left="1080" w:hanging="360"/>
        <w:rPr>
          <w:rFonts w:eastAsia="Times New Roman" w:cs="Times New Roman"/>
          <w:color w:val="000000"/>
          <w:kern w:val="0"/>
          <w14:ligatures w14:val="none"/>
        </w:rPr>
      </w:pPr>
      <w:r w:rsidRPr="00F430E6">
        <w:rPr>
          <w:rFonts w:eastAsia="Times New Roman" w:cs="Times New Roman"/>
          <w:color w:val="000000"/>
          <w:kern w:val="0"/>
          <w14:ligatures w14:val="none"/>
        </w:rPr>
        <w:t>(3) Procedures, in accordance with subsection (e), to measure the temperature and heat index, and record whichever is greater; identify and evaluate all other environmental risk factors for heat illness; and implement control measures.</w:t>
      </w:r>
    </w:p>
    <w:p w14:paraId="2D58516D" w14:textId="77777777" w:rsidR="000F140B" w:rsidRDefault="000F140B" w:rsidP="000F140B">
      <w:pPr>
        <w:shd w:val="clear" w:color="auto" w:fill="FFFFFF"/>
        <w:ind w:left="360"/>
        <w:rPr>
          <w:rFonts w:eastAsia="Times New Roman" w:cs="Times New Roman"/>
          <w:color w:val="000000"/>
          <w:kern w:val="0"/>
          <w14:ligatures w14:val="none"/>
        </w:rPr>
      </w:pPr>
      <w:r w:rsidRPr="00F430E6">
        <w:rPr>
          <w:rFonts w:eastAsia="Times New Roman" w:cs="Times New Roman"/>
          <w:color w:val="000000"/>
          <w:kern w:val="0"/>
          <w14:ligatures w14:val="none"/>
        </w:rPr>
        <w:t>(4) Emergency response procedures in accordance with subsection (f).</w:t>
      </w:r>
    </w:p>
    <w:p w14:paraId="30389B2A" w14:textId="2A86A5F2" w:rsidR="000F140B" w:rsidRPr="00C31FAD" w:rsidRDefault="000F140B" w:rsidP="000F140B">
      <w:pPr>
        <w:shd w:val="clear" w:color="auto" w:fill="FFFFFF"/>
        <w:ind w:left="720" w:hanging="360"/>
        <w:rPr>
          <w:rFonts w:eastAsia="Times New Roman" w:cs="Times New Roman"/>
          <w:color w:val="000000"/>
          <w:kern w:val="0"/>
          <w14:ligatures w14:val="none"/>
        </w:rPr>
      </w:pPr>
      <w:r w:rsidRPr="00F430E6">
        <w:rPr>
          <w:rFonts w:eastAsia="Times New Roman" w:cs="Times New Roman"/>
          <w:color w:val="000000"/>
          <w:kern w:val="0"/>
          <w14:ligatures w14:val="none"/>
        </w:rPr>
        <w:t>(5) Procedures for acclimatization in accordance with subsection (g).</w:t>
      </w:r>
    </w:p>
    <w:tbl>
      <w:tblPr>
        <w:tblStyle w:val="TableGrid"/>
        <w:tblW w:w="0" w:type="auto"/>
        <w:tblInd w:w="85" w:type="dxa"/>
        <w:tblCellMar>
          <w:top w:w="58" w:type="dxa"/>
          <w:bottom w:w="58" w:type="dxa"/>
        </w:tblCellMar>
        <w:tblLook w:val="04A0" w:firstRow="1" w:lastRow="0" w:firstColumn="1" w:lastColumn="0" w:noHBand="0" w:noVBand="1"/>
      </w:tblPr>
      <w:tblGrid>
        <w:gridCol w:w="10620"/>
      </w:tblGrid>
      <w:tr w:rsidR="000F140B" w14:paraId="12A908AC" w14:textId="77777777" w:rsidTr="0001254D">
        <w:tc>
          <w:tcPr>
            <w:tcW w:w="10620" w:type="dxa"/>
            <w:shd w:val="clear" w:color="auto" w:fill="FFFF00"/>
          </w:tcPr>
          <w:p w14:paraId="06A56890" w14:textId="77777777" w:rsidR="000F140B" w:rsidRPr="0014149E" w:rsidRDefault="000F140B" w:rsidP="0001254D">
            <w:pPr>
              <w:rPr>
                <w:i/>
                <w:iCs/>
              </w:rPr>
            </w:pPr>
            <w:r w:rsidRPr="0014149E">
              <w:rPr>
                <w:i/>
                <w:iCs/>
              </w:rPr>
              <w:t>The new language in subsection (i) will implement Labor Code section 6721. Electronic distribution (in lieu of hardcopies) of the employer’s program would be permitted for employees able to receive electronic copies.</w:t>
            </w:r>
          </w:p>
        </w:tc>
      </w:tr>
    </w:tbl>
    <w:p w14:paraId="79BE7656" w14:textId="77777777" w:rsidR="000F140B" w:rsidRDefault="000F140B" w:rsidP="000F140B">
      <w:pPr>
        <w:shd w:val="clear" w:color="auto" w:fill="FFFFFF"/>
        <w:rPr>
          <w:rFonts w:eastAsia="Times New Roman" w:cs="Times New Roman"/>
          <w:color w:val="000000"/>
          <w:kern w:val="0"/>
          <w14:ligatures w14:val="none"/>
        </w:rPr>
      </w:pPr>
    </w:p>
    <w:p w14:paraId="53F1E259" w14:textId="77777777" w:rsidR="00FE4F67" w:rsidRDefault="00FE4F67" w:rsidP="00B341FB">
      <w:pPr>
        <w:shd w:val="clear" w:color="auto" w:fill="FFFFFF"/>
        <w:rPr>
          <w:rFonts w:eastAsia="Times New Roman" w:cs="Times New Roman"/>
          <w:color w:val="000000"/>
          <w:kern w:val="0"/>
          <w14:ligatures w14:val="none"/>
        </w:rPr>
      </w:pPr>
    </w:p>
    <w:sectPr w:rsidR="00FE4F67" w:rsidSect="00DB0B3E">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2FC4" w14:textId="77777777" w:rsidR="00073612" w:rsidRDefault="00073612" w:rsidP="00F67FCC">
      <w:pPr>
        <w:spacing w:after="0" w:line="240" w:lineRule="auto"/>
      </w:pPr>
      <w:r>
        <w:separator/>
      </w:r>
    </w:p>
  </w:endnote>
  <w:endnote w:type="continuationSeparator" w:id="0">
    <w:p w14:paraId="118A9430" w14:textId="77777777" w:rsidR="00073612" w:rsidRDefault="00073612" w:rsidP="00F67FCC">
      <w:pPr>
        <w:spacing w:after="0" w:line="240" w:lineRule="auto"/>
      </w:pPr>
      <w:r>
        <w:continuationSeparator/>
      </w:r>
    </w:p>
  </w:endnote>
  <w:endnote w:type="continuationNotice" w:id="1">
    <w:p w14:paraId="68BB0F00" w14:textId="77777777" w:rsidR="00073612" w:rsidRDefault="00073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36FC" w14:textId="77777777" w:rsidR="00073612" w:rsidRDefault="00073612" w:rsidP="00F67FCC">
      <w:pPr>
        <w:spacing w:after="0" w:line="240" w:lineRule="auto"/>
      </w:pPr>
      <w:r>
        <w:separator/>
      </w:r>
    </w:p>
  </w:footnote>
  <w:footnote w:type="continuationSeparator" w:id="0">
    <w:p w14:paraId="442293FE" w14:textId="77777777" w:rsidR="00073612" w:rsidRDefault="00073612" w:rsidP="00F67FCC">
      <w:pPr>
        <w:spacing w:after="0" w:line="240" w:lineRule="auto"/>
      </w:pPr>
      <w:r>
        <w:continuationSeparator/>
      </w:r>
    </w:p>
  </w:footnote>
  <w:footnote w:type="continuationNotice" w:id="1">
    <w:p w14:paraId="401D9E82" w14:textId="77777777" w:rsidR="00073612" w:rsidRDefault="00073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AFE5" w14:textId="258620D7" w:rsidR="00E9390D" w:rsidRDefault="00807261">
    <w:pPr>
      <w:pStyle w:val="Header"/>
    </w:pPr>
    <w:r>
      <w:t>AB 2243 Heat Illness Prevention</w:t>
    </w:r>
    <w:r w:rsidR="00D707BA">
      <w:tab/>
    </w:r>
    <w:r w:rsidR="00D707BA">
      <w:tab/>
    </w:r>
    <w:r w:rsidR="00E9390D">
      <w:t>Draft 0</w:t>
    </w:r>
    <w:r w:rsidR="00AE1E28">
      <w:t>4</w:t>
    </w:r>
    <w:r w:rsidR="00E9390D">
      <w:t>/</w:t>
    </w:r>
    <w:r w:rsidR="00AE1E28">
      <w:t>23</w:t>
    </w:r>
    <w:r w:rsidR="00E9390D">
      <w:t>/2</w:t>
    </w:r>
    <w:r w:rsidR="00AE1E28">
      <w:t>5</w:t>
    </w:r>
    <w:r w:rsidR="00E9390D">
      <w:t xml:space="preserve"> </w:t>
    </w:r>
    <w:r>
      <w:t xml:space="preserve"> </w:t>
    </w:r>
  </w:p>
  <w:p w14:paraId="1C9B5EA3" w14:textId="2ED2E5C1" w:rsidR="00616BDA" w:rsidRDefault="00E9390D">
    <w:pPr>
      <w:pStyle w:val="Header"/>
    </w:pPr>
    <w:r w:rsidRPr="00E9390D">
      <w:t>§</w:t>
    </w:r>
    <w:r w:rsidR="00807261">
      <w:t xml:space="preserve">3395 Outdoor Heat and </w:t>
    </w:r>
    <w:r w:rsidRPr="00E9390D">
      <w:t>§</w:t>
    </w:r>
    <w:r w:rsidR="00807261">
      <w:t>3396 Indoor Heat</w:t>
    </w:r>
    <w:r w:rsidR="002274CA">
      <w:tab/>
    </w:r>
    <w:r w:rsidR="002274CA">
      <w:tab/>
      <w:t xml:space="preserve">Page </w:t>
    </w:r>
    <w:r w:rsidR="002274CA" w:rsidRPr="002274CA">
      <w:fldChar w:fldCharType="begin"/>
    </w:r>
    <w:r w:rsidR="002274CA" w:rsidRPr="002274CA">
      <w:instrText xml:space="preserve"> PAGE  \* Arabic  \* MERGEFORMAT </w:instrText>
    </w:r>
    <w:r w:rsidR="002274CA" w:rsidRPr="002274CA">
      <w:fldChar w:fldCharType="separate"/>
    </w:r>
    <w:r w:rsidR="002274CA" w:rsidRPr="002274CA">
      <w:rPr>
        <w:noProof/>
      </w:rPr>
      <w:t>1</w:t>
    </w:r>
    <w:r w:rsidR="002274CA" w:rsidRPr="002274CA">
      <w:fldChar w:fldCharType="end"/>
    </w:r>
    <w:r w:rsidR="002274CA" w:rsidRPr="002274CA">
      <w:t xml:space="preserve"> of </w:t>
    </w:r>
    <w:fldSimple w:instr=" NUMPAGES  \* Arabic  \* MERGEFORMAT ">
      <w:r w:rsidR="002274CA" w:rsidRPr="002274CA">
        <w:rPr>
          <w:noProof/>
        </w:rPr>
        <w:t>2</w:t>
      </w:r>
    </w:fldSimple>
  </w:p>
  <w:p w14:paraId="385CD5EF" w14:textId="77777777" w:rsidR="00616BDA" w:rsidRDefault="00616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178"/>
    <w:multiLevelType w:val="hybridMultilevel"/>
    <w:tmpl w:val="2E3E6BD8"/>
    <w:lvl w:ilvl="0" w:tplc="8D020DD6">
      <w:start w:val="5"/>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D6A129F"/>
    <w:multiLevelType w:val="hybridMultilevel"/>
    <w:tmpl w:val="EB12B94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975A8"/>
    <w:multiLevelType w:val="hybridMultilevel"/>
    <w:tmpl w:val="2F289BAC"/>
    <w:lvl w:ilvl="0" w:tplc="D8E8C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23742"/>
    <w:multiLevelType w:val="hybridMultilevel"/>
    <w:tmpl w:val="CDB889D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413FE"/>
    <w:multiLevelType w:val="hybridMultilevel"/>
    <w:tmpl w:val="C5CEFC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C607A"/>
    <w:multiLevelType w:val="hybridMultilevel"/>
    <w:tmpl w:val="C630986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6702856">
    <w:abstractNumId w:val="2"/>
  </w:num>
  <w:num w:numId="2" w16cid:durableId="1117214238">
    <w:abstractNumId w:val="1"/>
  </w:num>
  <w:num w:numId="3" w16cid:durableId="717899431">
    <w:abstractNumId w:val="4"/>
  </w:num>
  <w:num w:numId="4" w16cid:durableId="750202665">
    <w:abstractNumId w:val="3"/>
  </w:num>
  <w:num w:numId="5" w16cid:durableId="1496453487">
    <w:abstractNumId w:val="0"/>
  </w:num>
  <w:num w:numId="6" w16cid:durableId="1720084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05"/>
    <w:rsid w:val="00000877"/>
    <w:rsid w:val="00012ED2"/>
    <w:rsid w:val="00030A98"/>
    <w:rsid w:val="00041337"/>
    <w:rsid w:val="00042EB1"/>
    <w:rsid w:val="00061FFA"/>
    <w:rsid w:val="00073612"/>
    <w:rsid w:val="00080D25"/>
    <w:rsid w:val="000B4036"/>
    <w:rsid w:val="000B478C"/>
    <w:rsid w:val="000B7AB0"/>
    <w:rsid w:val="000D1EE3"/>
    <w:rsid w:val="000D25F2"/>
    <w:rsid w:val="000E1621"/>
    <w:rsid w:val="000F07BC"/>
    <w:rsid w:val="000F140B"/>
    <w:rsid w:val="000F4477"/>
    <w:rsid w:val="001138FE"/>
    <w:rsid w:val="001215D5"/>
    <w:rsid w:val="001509BC"/>
    <w:rsid w:val="0015366C"/>
    <w:rsid w:val="001646F3"/>
    <w:rsid w:val="0016610F"/>
    <w:rsid w:val="00172838"/>
    <w:rsid w:val="00181D5F"/>
    <w:rsid w:val="00184200"/>
    <w:rsid w:val="00194EC8"/>
    <w:rsid w:val="001A0806"/>
    <w:rsid w:val="001B08B6"/>
    <w:rsid w:val="001B0D1F"/>
    <w:rsid w:val="001B2709"/>
    <w:rsid w:val="001C230C"/>
    <w:rsid w:val="001C2836"/>
    <w:rsid w:val="001C63F6"/>
    <w:rsid w:val="001E4F7A"/>
    <w:rsid w:val="001F093F"/>
    <w:rsid w:val="00211864"/>
    <w:rsid w:val="0021237D"/>
    <w:rsid w:val="00222F00"/>
    <w:rsid w:val="0022642F"/>
    <w:rsid w:val="002274CA"/>
    <w:rsid w:val="00245F8A"/>
    <w:rsid w:val="00252C2B"/>
    <w:rsid w:val="00265EAB"/>
    <w:rsid w:val="00283CD2"/>
    <w:rsid w:val="002A6D6C"/>
    <w:rsid w:val="002B1D67"/>
    <w:rsid w:val="002C08D3"/>
    <w:rsid w:val="002C7D0B"/>
    <w:rsid w:val="002D0157"/>
    <w:rsid w:val="002E786A"/>
    <w:rsid w:val="002F0B97"/>
    <w:rsid w:val="002F47E5"/>
    <w:rsid w:val="00332934"/>
    <w:rsid w:val="00352354"/>
    <w:rsid w:val="003612FF"/>
    <w:rsid w:val="00362473"/>
    <w:rsid w:val="003754E5"/>
    <w:rsid w:val="00382C94"/>
    <w:rsid w:val="00391CBC"/>
    <w:rsid w:val="00392A42"/>
    <w:rsid w:val="00396B0B"/>
    <w:rsid w:val="00397809"/>
    <w:rsid w:val="003B08B5"/>
    <w:rsid w:val="003C7C85"/>
    <w:rsid w:val="003D0519"/>
    <w:rsid w:val="003D4146"/>
    <w:rsid w:val="003D5A50"/>
    <w:rsid w:val="003D73A7"/>
    <w:rsid w:val="003E4105"/>
    <w:rsid w:val="003E46D0"/>
    <w:rsid w:val="003E5A5B"/>
    <w:rsid w:val="003E5FAE"/>
    <w:rsid w:val="003F24F3"/>
    <w:rsid w:val="00402D61"/>
    <w:rsid w:val="004034CF"/>
    <w:rsid w:val="00405F45"/>
    <w:rsid w:val="004154EE"/>
    <w:rsid w:val="00417297"/>
    <w:rsid w:val="004212F7"/>
    <w:rsid w:val="004257E8"/>
    <w:rsid w:val="0042641B"/>
    <w:rsid w:val="00427378"/>
    <w:rsid w:val="004450FA"/>
    <w:rsid w:val="004464C4"/>
    <w:rsid w:val="00452EF0"/>
    <w:rsid w:val="004637E2"/>
    <w:rsid w:val="0047178A"/>
    <w:rsid w:val="00472A79"/>
    <w:rsid w:val="004A0A31"/>
    <w:rsid w:val="004A1987"/>
    <w:rsid w:val="004C1224"/>
    <w:rsid w:val="004C44D1"/>
    <w:rsid w:val="004D1ED8"/>
    <w:rsid w:val="004E1091"/>
    <w:rsid w:val="004E32BD"/>
    <w:rsid w:val="004E4552"/>
    <w:rsid w:val="004E76E8"/>
    <w:rsid w:val="00506E9F"/>
    <w:rsid w:val="0054129A"/>
    <w:rsid w:val="00553C2F"/>
    <w:rsid w:val="00561708"/>
    <w:rsid w:val="005763A3"/>
    <w:rsid w:val="00577AAB"/>
    <w:rsid w:val="00580321"/>
    <w:rsid w:val="005803B6"/>
    <w:rsid w:val="0058198E"/>
    <w:rsid w:val="00585122"/>
    <w:rsid w:val="005A0949"/>
    <w:rsid w:val="005A6C76"/>
    <w:rsid w:val="005B000A"/>
    <w:rsid w:val="005B487E"/>
    <w:rsid w:val="005B603B"/>
    <w:rsid w:val="005C3D04"/>
    <w:rsid w:val="005D41A8"/>
    <w:rsid w:val="005E014A"/>
    <w:rsid w:val="005F37F4"/>
    <w:rsid w:val="005F496F"/>
    <w:rsid w:val="006022A5"/>
    <w:rsid w:val="00607DD2"/>
    <w:rsid w:val="006137AA"/>
    <w:rsid w:val="00616BDA"/>
    <w:rsid w:val="00616C70"/>
    <w:rsid w:val="00617800"/>
    <w:rsid w:val="006356E1"/>
    <w:rsid w:val="006378FA"/>
    <w:rsid w:val="006474FF"/>
    <w:rsid w:val="00654373"/>
    <w:rsid w:val="00657D73"/>
    <w:rsid w:val="00661019"/>
    <w:rsid w:val="006617B5"/>
    <w:rsid w:val="00683216"/>
    <w:rsid w:val="00694429"/>
    <w:rsid w:val="006964F0"/>
    <w:rsid w:val="006A000D"/>
    <w:rsid w:val="006C3184"/>
    <w:rsid w:val="006D07C6"/>
    <w:rsid w:val="006D4C44"/>
    <w:rsid w:val="0070021F"/>
    <w:rsid w:val="00710810"/>
    <w:rsid w:val="0071123C"/>
    <w:rsid w:val="007121D8"/>
    <w:rsid w:val="007137A9"/>
    <w:rsid w:val="00720287"/>
    <w:rsid w:val="0072213A"/>
    <w:rsid w:val="007307A8"/>
    <w:rsid w:val="00735DFD"/>
    <w:rsid w:val="007361FB"/>
    <w:rsid w:val="007461C9"/>
    <w:rsid w:val="0074733A"/>
    <w:rsid w:val="00776161"/>
    <w:rsid w:val="00777510"/>
    <w:rsid w:val="00783BB7"/>
    <w:rsid w:val="00784C2E"/>
    <w:rsid w:val="007911AC"/>
    <w:rsid w:val="00796E86"/>
    <w:rsid w:val="007A07CF"/>
    <w:rsid w:val="007A5A06"/>
    <w:rsid w:val="007B2045"/>
    <w:rsid w:val="007C1A1B"/>
    <w:rsid w:val="007C3F4C"/>
    <w:rsid w:val="007C418E"/>
    <w:rsid w:val="007D2046"/>
    <w:rsid w:val="007D3209"/>
    <w:rsid w:val="007E1849"/>
    <w:rsid w:val="007E3EA2"/>
    <w:rsid w:val="007F3F97"/>
    <w:rsid w:val="00804256"/>
    <w:rsid w:val="00807261"/>
    <w:rsid w:val="0082067C"/>
    <w:rsid w:val="008244AC"/>
    <w:rsid w:val="008265E2"/>
    <w:rsid w:val="008348E9"/>
    <w:rsid w:val="00842542"/>
    <w:rsid w:val="008451E8"/>
    <w:rsid w:val="008528BC"/>
    <w:rsid w:val="00855DAE"/>
    <w:rsid w:val="0086156E"/>
    <w:rsid w:val="00862780"/>
    <w:rsid w:val="00863795"/>
    <w:rsid w:val="00881D39"/>
    <w:rsid w:val="008923CB"/>
    <w:rsid w:val="0089458B"/>
    <w:rsid w:val="00896EAC"/>
    <w:rsid w:val="008A55A4"/>
    <w:rsid w:val="008C1894"/>
    <w:rsid w:val="008D7743"/>
    <w:rsid w:val="008E1FA7"/>
    <w:rsid w:val="008E4584"/>
    <w:rsid w:val="008F3057"/>
    <w:rsid w:val="0091066A"/>
    <w:rsid w:val="0091737E"/>
    <w:rsid w:val="00922AD5"/>
    <w:rsid w:val="00923268"/>
    <w:rsid w:val="0092458E"/>
    <w:rsid w:val="00953A80"/>
    <w:rsid w:val="0097439B"/>
    <w:rsid w:val="009758F4"/>
    <w:rsid w:val="009820E0"/>
    <w:rsid w:val="00984F4E"/>
    <w:rsid w:val="00992363"/>
    <w:rsid w:val="009B163C"/>
    <w:rsid w:val="009C0E2B"/>
    <w:rsid w:val="009C7A70"/>
    <w:rsid w:val="009D2E24"/>
    <w:rsid w:val="009E43A8"/>
    <w:rsid w:val="009E5AD7"/>
    <w:rsid w:val="009F0DA0"/>
    <w:rsid w:val="00A042D8"/>
    <w:rsid w:val="00A12820"/>
    <w:rsid w:val="00A30BBE"/>
    <w:rsid w:val="00A33DC5"/>
    <w:rsid w:val="00A35F75"/>
    <w:rsid w:val="00A63384"/>
    <w:rsid w:val="00A67104"/>
    <w:rsid w:val="00A81FCD"/>
    <w:rsid w:val="00A86747"/>
    <w:rsid w:val="00A879AE"/>
    <w:rsid w:val="00A91C9B"/>
    <w:rsid w:val="00A94C9A"/>
    <w:rsid w:val="00AC1FDB"/>
    <w:rsid w:val="00AC4EBC"/>
    <w:rsid w:val="00AD4625"/>
    <w:rsid w:val="00AE1E28"/>
    <w:rsid w:val="00B04445"/>
    <w:rsid w:val="00B12AE9"/>
    <w:rsid w:val="00B151B2"/>
    <w:rsid w:val="00B24367"/>
    <w:rsid w:val="00B341FB"/>
    <w:rsid w:val="00B65490"/>
    <w:rsid w:val="00B75227"/>
    <w:rsid w:val="00B8197C"/>
    <w:rsid w:val="00B84B85"/>
    <w:rsid w:val="00B879F1"/>
    <w:rsid w:val="00B923AF"/>
    <w:rsid w:val="00B9466E"/>
    <w:rsid w:val="00B949E0"/>
    <w:rsid w:val="00BA50FB"/>
    <w:rsid w:val="00BB311D"/>
    <w:rsid w:val="00BC6668"/>
    <w:rsid w:val="00BC6837"/>
    <w:rsid w:val="00BD15A0"/>
    <w:rsid w:val="00BD5A93"/>
    <w:rsid w:val="00BF0C1C"/>
    <w:rsid w:val="00BF0EDB"/>
    <w:rsid w:val="00BF29C5"/>
    <w:rsid w:val="00C03799"/>
    <w:rsid w:val="00C0581A"/>
    <w:rsid w:val="00C109C0"/>
    <w:rsid w:val="00C11F4F"/>
    <w:rsid w:val="00C242F5"/>
    <w:rsid w:val="00C36CE9"/>
    <w:rsid w:val="00C447D0"/>
    <w:rsid w:val="00C54D7C"/>
    <w:rsid w:val="00C56240"/>
    <w:rsid w:val="00C779BB"/>
    <w:rsid w:val="00C80EB7"/>
    <w:rsid w:val="00C812F1"/>
    <w:rsid w:val="00C925EE"/>
    <w:rsid w:val="00C933B7"/>
    <w:rsid w:val="00CA6F01"/>
    <w:rsid w:val="00CC55C6"/>
    <w:rsid w:val="00CC77D7"/>
    <w:rsid w:val="00CE05A7"/>
    <w:rsid w:val="00CE330B"/>
    <w:rsid w:val="00CE3B0B"/>
    <w:rsid w:val="00CF37B7"/>
    <w:rsid w:val="00D02E2B"/>
    <w:rsid w:val="00D1314B"/>
    <w:rsid w:val="00D36DBF"/>
    <w:rsid w:val="00D6713F"/>
    <w:rsid w:val="00D707BA"/>
    <w:rsid w:val="00D72ED6"/>
    <w:rsid w:val="00D7365A"/>
    <w:rsid w:val="00D7694A"/>
    <w:rsid w:val="00D81013"/>
    <w:rsid w:val="00D85A8A"/>
    <w:rsid w:val="00D918A8"/>
    <w:rsid w:val="00DA5342"/>
    <w:rsid w:val="00DA5744"/>
    <w:rsid w:val="00DB0B3E"/>
    <w:rsid w:val="00DB4E8E"/>
    <w:rsid w:val="00DB573B"/>
    <w:rsid w:val="00DB6E5E"/>
    <w:rsid w:val="00DC268A"/>
    <w:rsid w:val="00DD7118"/>
    <w:rsid w:val="00DF073A"/>
    <w:rsid w:val="00DF72E5"/>
    <w:rsid w:val="00E0018E"/>
    <w:rsid w:val="00E20A8B"/>
    <w:rsid w:val="00E27406"/>
    <w:rsid w:val="00E46794"/>
    <w:rsid w:val="00E46DBC"/>
    <w:rsid w:val="00E505BB"/>
    <w:rsid w:val="00E5562B"/>
    <w:rsid w:val="00E57158"/>
    <w:rsid w:val="00E575A6"/>
    <w:rsid w:val="00E608C7"/>
    <w:rsid w:val="00E67AC0"/>
    <w:rsid w:val="00E81662"/>
    <w:rsid w:val="00E90243"/>
    <w:rsid w:val="00E9390D"/>
    <w:rsid w:val="00E9537B"/>
    <w:rsid w:val="00EB5008"/>
    <w:rsid w:val="00EB6DA9"/>
    <w:rsid w:val="00EC088E"/>
    <w:rsid w:val="00EC1732"/>
    <w:rsid w:val="00EC3CB9"/>
    <w:rsid w:val="00ED1E05"/>
    <w:rsid w:val="00EE53A2"/>
    <w:rsid w:val="00EE5798"/>
    <w:rsid w:val="00EE730A"/>
    <w:rsid w:val="00EF108B"/>
    <w:rsid w:val="00EF3EA7"/>
    <w:rsid w:val="00F07F52"/>
    <w:rsid w:val="00F17554"/>
    <w:rsid w:val="00F27D4D"/>
    <w:rsid w:val="00F47E1C"/>
    <w:rsid w:val="00F554DE"/>
    <w:rsid w:val="00F67FCC"/>
    <w:rsid w:val="00F80CC8"/>
    <w:rsid w:val="00F813FF"/>
    <w:rsid w:val="00F90616"/>
    <w:rsid w:val="00F970CC"/>
    <w:rsid w:val="00FA08ED"/>
    <w:rsid w:val="00FB1825"/>
    <w:rsid w:val="00FB2133"/>
    <w:rsid w:val="00FE4F67"/>
    <w:rsid w:val="00FF49C1"/>
    <w:rsid w:val="00FF52BA"/>
    <w:rsid w:val="00FF5305"/>
    <w:rsid w:val="0176B732"/>
    <w:rsid w:val="03F94E9E"/>
    <w:rsid w:val="0B8A6BBA"/>
    <w:rsid w:val="0E5FFB25"/>
    <w:rsid w:val="0EEE6A5B"/>
    <w:rsid w:val="131C1BC5"/>
    <w:rsid w:val="1ED8BE20"/>
    <w:rsid w:val="25167812"/>
    <w:rsid w:val="26F377D2"/>
    <w:rsid w:val="27AD4F01"/>
    <w:rsid w:val="29AC803B"/>
    <w:rsid w:val="2C58C1B8"/>
    <w:rsid w:val="318FAEB2"/>
    <w:rsid w:val="3572C259"/>
    <w:rsid w:val="367D6BA4"/>
    <w:rsid w:val="3726E83B"/>
    <w:rsid w:val="378B0997"/>
    <w:rsid w:val="3AAC9723"/>
    <w:rsid w:val="3C6E469D"/>
    <w:rsid w:val="46EDF6D1"/>
    <w:rsid w:val="47D001BE"/>
    <w:rsid w:val="4CE7E7D2"/>
    <w:rsid w:val="5030D3B3"/>
    <w:rsid w:val="57979287"/>
    <w:rsid w:val="57A8E5A1"/>
    <w:rsid w:val="5F033D84"/>
    <w:rsid w:val="611F68E1"/>
    <w:rsid w:val="62F60D54"/>
    <w:rsid w:val="67AD80E0"/>
    <w:rsid w:val="681236E8"/>
    <w:rsid w:val="6B6D2EEB"/>
    <w:rsid w:val="6F97296D"/>
    <w:rsid w:val="72841468"/>
    <w:rsid w:val="745C180A"/>
    <w:rsid w:val="7688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9EBB"/>
  <w15:chartTrackingRefBased/>
  <w15:docId w15:val="{DACEDD41-6CE3-4D43-943E-4DC56985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4A"/>
  </w:style>
  <w:style w:type="paragraph" w:styleId="Heading1">
    <w:name w:val="heading 1"/>
    <w:basedOn w:val="Normal"/>
    <w:next w:val="Normal"/>
    <w:link w:val="Heading1Char"/>
    <w:uiPriority w:val="9"/>
    <w:qFormat/>
    <w:rsid w:val="003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105"/>
    <w:rPr>
      <w:rFonts w:eastAsiaTheme="majorEastAsia" w:cstheme="majorBidi"/>
      <w:color w:val="272727" w:themeColor="text1" w:themeTint="D8"/>
    </w:rPr>
  </w:style>
  <w:style w:type="paragraph" w:styleId="Title">
    <w:name w:val="Title"/>
    <w:basedOn w:val="Normal"/>
    <w:next w:val="Normal"/>
    <w:link w:val="TitleChar"/>
    <w:uiPriority w:val="10"/>
    <w:qFormat/>
    <w:rsid w:val="003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105"/>
    <w:pPr>
      <w:spacing w:before="160"/>
      <w:jc w:val="center"/>
    </w:pPr>
    <w:rPr>
      <w:i/>
      <w:iCs/>
      <w:color w:val="404040" w:themeColor="text1" w:themeTint="BF"/>
    </w:rPr>
  </w:style>
  <w:style w:type="character" w:customStyle="1" w:styleId="QuoteChar">
    <w:name w:val="Quote Char"/>
    <w:basedOn w:val="DefaultParagraphFont"/>
    <w:link w:val="Quote"/>
    <w:uiPriority w:val="29"/>
    <w:rsid w:val="003E4105"/>
    <w:rPr>
      <w:i/>
      <w:iCs/>
      <w:color w:val="404040" w:themeColor="text1" w:themeTint="BF"/>
    </w:rPr>
  </w:style>
  <w:style w:type="paragraph" w:styleId="ListParagraph">
    <w:name w:val="List Paragraph"/>
    <w:basedOn w:val="Normal"/>
    <w:uiPriority w:val="34"/>
    <w:qFormat/>
    <w:rsid w:val="003E4105"/>
    <w:pPr>
      <w:ind w:left="720"/>
      <w:contextualSpacing/>
    </w:pPr>
  </w:style>
  <w:style w:type="character" w:styleId="IntenseEmphasis">
    <w:name w:val="Intense Emphasis"/>
    <w:basedOn w:val="DefaultParagraphFont"/>
    <w:uiPriority w:val="21"/>
    <w:qFormat/>
    <w:rsid w:val="003E4105"/>
    <w:rPr>
      <w:i/>
      <w:iCs/>
      <w:color w:val="0F4761" w:themeColor="accent1" w:themeShade="BF"/>
    </w:rPr>
  </w:style>
  <w:style w:type="paragraph" w:styleId="IntenseQuote">
    <w:name w:val="Intense Quote"/>
    <w:basedOn w:val="Normal"/>
    <w:next w:val="Normal"/>
    <w:link w:val="IntenseQuoteChar"/>
    <w:uiPriority w:val="30"/>
    <w:qFormat/>
    <w:rsid w:val="003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105"/>
    <w:rPr>
      <w:i/>
      <w:iCs/>
      <w:color w:val="0F4761" w:themeColor="accent1" w:themeShade="BF"/>
    </w:rPr>
  </w:style>
  <w:style w:type="character" w:styleId="IntenseReference">
    <w:name w:val="Intense Reference"/>
    <w:basedOn w:val="DefaultParagraphFont"/>
    <w:uiPriority w:val="32"/>
    <w:qFormat/>
    <w:rsid w:val="003E4105"/>
    <w:rPr>
      <w:b/>
      <w:bCs/>
      <w:smallCaps/>
      <w:color w:val="0F4761" w:themeColor="accent1" w:themeShade="BF"/>
      <w:spacing w:val="5"/>
    </w:rPr>
  </w:style>
  <w:style w:type="paragraph" w:styleId="Header">
    <w:name w:val="header"/>
    <w:basedOn w:val="Normal"/>
    <w:link w:val="HeaderChar"/>
    <w:uiPriority w:val="99"/>
    <w:unhideWhenUsed/>
    <w:rsid w:val="00F67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CC"/>
  </w:style>
  <w:style w:type="paragraph" w:styleId="Footer">
    <w:name w:val="footer"/>
    <w:basedOn w:val="Normal"/>
    <w:link w:val="FooterChar"/>
    <w:uiPriority w:val="99"/>
    <w:unhideWhenUsed/>
    <w:rsid w:val="00F67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CC"/>
  </w:style>
  <w:style w:type="character" w:styleId="CommentReference">
    <w:name w:val="annotation reference"/>
    <w:basedOn w:val="DefaultParagraphFont"/>
    <w:uiPriority w:val="99"/>
    <w:semiHidden/>
    <w:unhideWhenUsed/>
    <w:rsid w:val="00012ED2"/>
    <w:rPr>
      <w:sz w:val="16"/>
      <w:szCs w:val="16"/>
    </w:rPr>
  </w:style>
  <w:style w:type="paragraph" w:styleId="CommentText">
    <w:name w:val="annotation text"/>
    <w:basedOn w:val="Normal"/>
    <w:link w:val="CommentTextChar"/>
    <w:uiPriority w:val="99"/>
    <w:unhideWhenUsed/>
    <w:rsid w:val="00012ED2"/>
    <w:pPr>
      <w:spacing w:line="240" w:lineRule="auto"/>
    </w:pPr>
    <w:rPr>
      <w:sz w:val="20"/>
      <w:szCs w:val="20"/>
    </w:rPr>
  </w:style>
  <w:style w:type="character" w:customStyle="1" w:styleId="CommentTextChar">
    <w:name w:val="Comment Text Char"/>
    <w:basedOn w:val="DefaultParagraphFont"/>
    <w:link w:val="CommentText"/>
    <w:uiPriority w:val="99"/>
    <w:rsid w:val="00012ED2"/>
    <w:rPr>
      <w:sz w:val="20"/>
      <w:szCs w:val="20"/>
    </w:rPr>
  </w:style>
  <w:style w:type="paragraph" w:styleId="CommentSubject">
    <w:name w:val="annotation subject"/>
    <w:basedOn w:val="CommentText"/>
    <w:next w:val="CommentText"/>
    <w:link w:val="CommentSubjectChar"/>
    <w:uiPriority w:val="99"/>
    <w:semiHidden/>
    <w:unhideWhenUsed/>
    <w:rsid w:val="00012ED2"/>
    <w:rPr>
      <w:b/>
      <w:bCs/>
    </w:rPr>
  </w:style>
  <w:style w:type="character" w:customStyle="1" w:styleId="CommentSubjectChar">
    <w:name w:val="Comment Subject Char"/>
    <w:basedOn w:val="CommentTextChar"/>
    <w:link w:val="CommentSubject"/>
    <w:uiPriority w:val="99"/>
    <w:semiHidden/>
    <w:rsid w:val="00012ED2"/>
    <w:rPr>
      <w:b/>
      <w:bCs/>
      <w:sz w:val="20"/>
      <w:szCs w:val="20"/>
    </w:rPr>
  </w:style>
  <w:style w:type="paragraph" w:styleId="BalloonText">
    <w:name w:val="Balloon Text"/>
    <w:basedOn w:val="Normal"/>
    <w:link w:val="BalloonTextChar"/>
    <w:uiPriority w:val="99"/>
    <w:semiHidden/>
    <w:unhideWhenUsed/>
    <w:rsid w:val="00012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ED2"/>
    <w:rPr>
      <w:rFonts w:ascii="Segoe UI" w:hAnsi="Segoe UI" w:cs="Segoe UI"/>
      <w:sz w:val="18"/>
      <w:szCs w:val="18"/>
    </w:rPr>
  </w:style>
  <w:style w:type="paragraph" w:styleId="Revision">
    <w:name w:val="Revision"/>
    <w:hidden/>
    <w:uiPriority w:val="99"/>
    <w:semiHidden/>
    <w:rsid w:val="009D2E24"/>
    <w:pPr>
      <w:spacing w:after="0" w:line="240" w:lineRule="auto"/>
    </w:pPr>
  </w:style>
  <w:style w:type="table" w:styleId="TableGrid">
    <w:name w:val="Table Grid"/>
    <w:basedOn w:val="TableNormal"/>
    <w:uiPriority w:val="39"/>
    <w:rsid w:val="0077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3A2"/>
    <w:rPr>
      <w:color w:val="467886" w:themeColor="hyperlink"/>
      <w:u w:val="single"/>
    </w:rPr>
  </w:style>
  <w:style w:type="character" w:styleId="FollowedHyperlink">
    <w:name w:val="FollowedHyperlink"/>
    <w:basedOn w:val="DefaultParagraphFont"/>
    <w:uiPriority w:val="99"/>
    <w:semiHidden/>
    <w:unhideWhenUsed/>
    <w:rsid w:val="00EE53A2"/>
    <w:rPr>
      <w:color w:val="96607D" w:themeColor="followedHyperlink"/>
      <w:u w:val="single"/>
    </w:rPr>
  </w:style>
  <w:style w:type="character" w:customStyle="1" w:styleId="UnresolvedMention1">
    <w:name w:val="Unresolved Mention1"/>
    <w:basedOn w:val="DefaultParagraphFont"/>
    <w:uiPriority w:val="99"/>
    <w:semiHidden/>
    <w:unhideWhenUsed/>
    <w:rsid w:val="00F9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42833">
      <w:bodyDiv w:val="1"/>
      <w:marLeft w:val="0"/>
      <w:marRight w:val="0"/>
      <w:marTop w:val="0"/>
      <w:marBottom w:val="0"/>
      <w:divBdr>
        <w:top w:val="none" w:sz="0" w:space="0" w:color="auto"/>
        <w:left w:val="none" w:sz="0" w:space="0" w:color="auto"/>
        <w:bottom w:val="none" w:sz="0" w:space="0" w:color="auto"/>
        <w:right w:val="none" w:sz="0" w:space="0" w:color="auto"/>
      </w:divBdr>
    </w:div>
    <w:div w:id="740910326">
      <w:bodyDiv w:val="1"/>
      <w:marLeft w:val="0"/>
      <w:marRight w:val="0"/>
      <w:marTop w:val="0"/>
      <w:marBottom w:val="0"/>
      <w:divBdr>
        <w:top w:val="none" w:sz="0" w:space="0" w:color="auto"/>
        <w:left w:val="none" w:sz="0" w:space="0" w:color="auto"/>
        <w:bottom w:val="none" w:sz="0" w:space="0" w:color="auto"/>
        <w:right w:val="none" w:sz="0" w:space="0" w:color="auto"/>
      </w:divBdr>
      <w:divsChild>
        <w:div w:id="1119564872">
          <w:marLeft w:val="0"/>
          <w:marRight w:val="0"/>
          <w:marTop w:val="240"/>
          <w:marBottom w:val="270"/>
          <w:divBdr>
            <w:top w:val="none" w:sz="0" w:space="0" w:color="auto"/>
            <w:left w:val="none" w:sz="0" w:space="0" w:color="auto"/>
            <w:bottom w:val="none" w:sz="0" w:space="0" w:color="auto"/>
            <w:right w:val="none" w:sz="0" w:space="0" w:color="auto"/>
          </w:divBdr>
          <w:divsChild>
            <w:div w:id="1858810605">
              <w:marLeft w:val="0"/>
              <w:marRight w:val="0"/>
              <w:marTop w:val="0"/>
              <w:marBottom w:val="0"/>
              <w:divBdr>
                <w:top w:val="none" w:sz="0" w:space="0" w:color="auto"/>
                <w:left w:val="none" w:sz="0" w:space="0" w:color="auto"/>
                <w:bottom w:val="none" w:sz="0" w:space="0" w:color="auto"/>
                <w:right w:val="none" w:sz="0" w:space="0" w:color="auto"/>
              </w:divBdr>
              <w:divsChild>
                <w:div w:id="1351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1604">
          <w:marLeft w:val="0"/>
          <w:marRight w:val="0"/>
          <w:marTop w:val="240"/>
          <w:marBottom w:val="270"/>
          <w:divBdr>
            <w:top w:val="none" w:sz="0" w:space="0" w:color="auto"/>
            <w:left w:val="none" w:sz="0" w:space="0" w:color="auto"/>
            <w:bottom w:val="none" w:sz="0" w:space="0" w:color="auto"/>
            <w:right w:val="none" w:sz="0" w:space="0" w:color="auto"/>
          </w:divBdr>
          <w:divsChild>
            <w:div w:id="1139763816">
              <w:marLeft w:val="0"/>
              <w:marRight w:val="0"/>
              <w:marTop w:val="0"/>
              <w:marBottom w:val="0"/>
              <w:divBdr>
                <w:top w:val="none" w:sz="0" w:space="0" w:color="auto"/>
                <w:left w:val="none" w:sz="0" w:space="0" w:color="auto"/>
                <w:bottom w:val="none" w:sz="0" w:space="0" w:color="auto"/>
                <w:right w:val="none" w:sz="0" w:space="0" w:color="auto"/>
              </w:divBdr>
              <w:divsChild>
                <w:div w:id="14115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1">
      <w:bodyDiv w:val="1"/>
      <w:marLeft w:val="0"/>
      <w:marRight w:val="0"/>
      <w:marTop w:val="0"/>
      <w:marBottom w:val="0"/>
      <w:divBdr>
        <w:top w:val="none" w:sz="0" w:space="0" w:color="auto"/>
        <w:left w:val="none" w:sz="0" w:space="0" w:color="auto"/>
        <w:bottom w:val="none" w:sz="0" w:space="0" w:color="auto"/>
        <w:right w:val="none" w:sz="0" w:space="0" w:color="auto"/>
      </w:divBdr>
    </w:div>
    <w:div w:id="1708869200">
      <w:bodyDiv w:val="1"/>
      <w:marLeft w:val="0"/>
      <w:marRight w:val="0"/>
      <w:marTop w:val="0"/>
      <w:marBottom w:val="0"/>
      <w:divBdr>
        <w:top w:val="none" w:sz="0" w:space="0" w:color="auto"/>
        <w:left w:val="none" w:sz="0" w:space="0" w:color="auto"/>
        <w:bottom w:val="none" w:sz="0" w:space="0" w:color="auto"/>
        <w:right w:val="none" w:sz="0" w:space="0" w:color="auto"/>
      </w:divBdr>
      <w:divsChild>
        <w:div w:id="163789209">
          <w:marLeft w:val="0"/>
          <w:marRight w:val="0"/>
          <w:marTop w:val="0"/>
          <w:marBottom w:val="0"/>
          <w:divBdr>
            <w:top w:val="none" w:sz="0" w:space="0" w:color="auto"/>
            <w:left w:val="none" w:sz="0" w:space="0" w:color="auto"/>
            <w:bottom w:val="none" w:sz="0" w:space="0" w:color="auto"/>
            <w:right w:val="none" w:sz="0" w:space="0" w:color="auto"/>
          </w:divBdr>
        </w:div>
        <w:div w:id="985207440">
          <w:marLeft w:val="0"/>
          <w:marRight w:val="0"/>
          <w:marTop w:val="240"/>
          <w:marBottom w:val="0"/>
          <w:divBdr>
            <w:top w:val="none" w:sz="0" w:space="0" w:color="auto"/>
            <w:left w:val="none" w:sz="0" w:space="0" w:color="auto"/>
            <w:bottom w:val="none" w:sz="0" w:space="0" w:color="auto"/>
            <w:right w:val="none" w:sz="0" w:space="0" w:color="auto"/>
          </w:divBdr>
          <w:divsChild>
            <w:div w:id="505899330">
              <w:marLeft w:val="0"/>
              <w:marRight w:val="0"/>
              <w:marTop w:val="0"/>
              <w:marBottom w:val="0"/>
              <w:divBdr>
                <w:top w:val="none" w:sz="0" w:space="0" w:color="auto"/>
                <w:left w:val="none" w:sz="0" w:space="0" w:color="auto"/>
                <w:bottom w:val="none" w:sz="0" w:space="0" w:color="auto"/>
                <w:right w:val="none" w:sz="0" w:space="0" w:color="auto"/>
              </w:divBdr>
              <w:divsChild>
                <w:div w:id="7186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3343">
          <w:marLeft w:val="0"/>
          <w:marRight w:val="0"/>
          <w:marTop w:val="240"/>
          <w:marBottom w:val="0"/>
          <w:divBdr>
            <w:top w:val="none" w:sz="0" w:space="0" w:color="auto"/>
            <w:left w:val="none" w:sz="0" w:space="0" w:color="auto"/>
            <w:bottom w:val="none" w:sz="0" w:space="0" w:color="auto"/>
            <w:right w:val="none" w:sz="0" w:space="0" w:color="auto"/>
          </w:divBdr>
          <w:divsChild>
            <w:div w:id="143086533">
              <w:marLeft w:val="0"/>
              <w:marRight w:val="0"/>
              <w:marTop w:val="0"/>
              <w:marBottom w:val="0"/>
              <w:divBdr>
                <w:top w:val="none" w:sz="0" w:space="0" w:color="auto"/>
                <w:left w:val="none" w:sz="0" w:space="0" w:color="auto"/>
                <w:bottom w:val="none" w:sz="0" w:space="0" w:color="auto"/>
                <w:right w:val="none" w:sz="0" w:space="0" w:color="auto"/>
              </w:divBdr>
              <w:divsChild>
                <w:div w:id="48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0441">
          <w:marLeft w:val="0"/>
          <w:marRight w:val="0"/>
          <w:marTop w:val="240"/>
          <w:marBottom w:val="0"/>
          <w:divBdr>
            <w:top w:val="none" w:sz="0" w:space="0" w:color="auto"/>
            <w:left w:val="none" w:sz="0" w:space="0" w:color="auto"/>
            <w:bottom w:val="none" w:sz="0" w:space="0" w:color="auto"/>
            <w:right w:val="none" w:sz="0" w:space="0" w:color="auto"/>
          </w:divBdr>
          <w:divsChild>
            <w:div w:id="652486354">
              <w:marLeft w:val="0"/>
              <w:marRight w:val="0"/>
              <w:marTop w:val="0"/>
              <w:marBottom w:val="0"/>
              <w:divBdr>
                <w:top w:val="none" w:sz="0" w:space="0" w:color="auto"/>
                <w:left w:val="none" w:sz="0" w:space="0" w:color="auto"/>
                <w:bottom w:val="none" w:sz="0" w:space="0" w:color="auto"/>
                <w:right w:val="none" w:sz="0" w:space="0" w:color="auto"/>
              </w:divBdr>
              <w:divsChild>
                <w:div w:id="7768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895">
          <w:marLeft w:val="0"/>
          <w:marRight w:val="0"/>
          <w:marTop w:val="240"/>
          <w:marBottom w:val="0"/>
          <w:divBdr>
            <w:top w:val="none" w:sz="0" w:space="0" w:color="auto"/>
            <w:left w:val="none" w:sz="0" w:space="0" w:color="auto"/>
            <w:bottom w:val="none" w:sz="0" w:space="0" w:color="auto"/>
            <w:right w:val="none" w:sz="0" w:space="0" w:color="auto"/>
          </w:divBdr>
          <w:divsChild>
            <w:div w:id="1884361248">
              <w:marLeft w:val="0"/>
              <w:marRight w:val="0"/>
              <w:marTop w:val="0"/>
              <w:marBottom w:val="0"/>
              <w:divBdr>
                <w:top w:val="none" w:sz="0" w:space="0" w:color="auto"/>
                <w:left w:val="none" w:sz="0" w:space="0" w:color="auto"/>
                <w:bottom w:val="none" w:sz="0" w:space="0" w:color="auto"/>
                <w:right w:val="none" w:sz="0" w:space="0" w:color="auto"/>
              </w:divBdr>
              <w:divsChild>
                <w:div w:id="9835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iosh/docs/2016-106/pdfs/2016-106.pdf?id=10.26616/NIOSHPUB2016106" TargetMode="External"/><Relationship Id="rId18" Type="http://schemas.openxmlformats.org/officeDocument/2006/relationships/hyperlink" Target="https://www.federalregister.gov/documents/2024/08/30/2024-14824/heat-injury-and-illness-prevention-in-outdoor-and-indoor-work-setting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ederalregister.gov/documents/2024/08/30/2024-14824/heat-injury-and-illness-prevention-in-outdoor-and-indoor-work-settings" TargetMode="External"/><Relationship Id="rId17" Type="http://schemas.openxmlformats.org/officeDocument/2006/relationships/hyperlink" Target="https://www.cdc.gov/niosh/docs/2016-106/pdfs/2016-106.pdf?id=10.26616/NIOSHPUB2016106" TargetMode="External"/><Relationship Id="rId2" Type="http://schemas.openxmlformats.org/officeDocument/2006/relationships/customXml" Target="../customXml/item2.xml"/><Relationship Id="rId16" Type="http://schemas.openxmlformats.org/officeDocument/2006/relationships/hyperlink" Target="https://www.federalregister.gov/documents/2024/08/30/2024-14824/heat-injury-and-illness-prevention-in-outdoor-and-indoor-work-set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4/08/30/2024-14824/heat-injury-and-illness-prevention-in-outdoor-and-indoor-work-settings" TargetMode="External"/><Relationship Id="rId5" Type="http://schemas.openxmlformats.org/officeDocument/2006/relationships/numbering" Target="numbering.xml"/><Relationship Id="rId15" Type="http://schemas.openxmlformats.org/officeDocument/2006/relationships/hyperlink" Target="https://www.federalregister.gov/documents/2024/08/30/2024-14824/heat-injury-and-illness-prevention-in-outdoor-and-indoor-work-setting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4/08/30/2024-14824/heat-injury-and-illness-prevention-in-outdoor-and-indoor-work-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B7044F9722E4AB4B741B5E8F36051" ma:contentTypeVersion="19" ma:contentTypeDescription="Create a new document." ma:contentTypeScope="" ma:versionID="65a58277f1ce9f176e760963f4620897">
  <xsd:schema xmlns:xsd="http://www.w3.org/2001/XMLSchema" xmlns:xs="http://www.w3.org/2001/XMLSchema" xmlns:p="http://schemas.microsoft.com/office/2006/metadata/properties" xmlns:ns1="http://schemas.microsoft.com/sharepoint/v3" xmlns:ns2="26517f30-a096-45ee-8dcd-226fd63636f6" xmlns:ns3="07ed17aa-2aff-4be6-bad4-fa6c8c18855b" targetNamespace="http://schemas.microsoft.com/office/2006/metadata/properties" ma:root="true" ma:fieldsID="4bba72670fa4e315a176851e1c95c297" ns1:_="" ns2:_="" ns3:_="">
    <xsd:import namespace="http://schemas.microsoft.com/sharepoint/v3"/>
    <xsd:import namespace="26517f30-a096-45ee-8dcd-226fd63636f6"/>
    <xsd:import namespace="07ed17aa-2aff-4be6-bad4-fa6c8c1885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_x002d_time" minOccurs="0"/>
                <xsd:element ref="ns1:_ip_UnifiedCompliancePolicyProperties" minOccurs="0"/>
                <xsd:element ref="ns1:_ip_UnifiedCompliancePolicyUIAction" minOccurs="0"/>
                <xsd:element ref="ns2:Numberoffi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17f30-a096-45ee-8dcd-226fd6363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_x002d_time" ma:index="23" nillable="true" ma:displayName="date-time" ma:format="DateTime" ma:internalName="date_x002d_time">
      <xsd:simpleType>
        <xsd:restriction base="dms:DateTime"/>
      </xsd:simpleType>
    </xsd:element>
    <xsd:element name="Numberoffiles" ma:index="26" nillable="true" ma:displayName="Number of files" ma:format="Dropdown" ma:internalName="Numberoffil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7ed17aa-2aff-4be6-bad4-fa6c8c1885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691f07-6d57-45c1-819c-511880fad160}" ma:internalName="TaxCatchAll" ma:showField="CatchAllData" ma:web="07ed17aa-2aff-4be6-bad4-fa6c8c188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7ed17aa-2aff-4be6-bad4-fa6c8c18855b" xsi:nil="true"/>
    <lcf76f155ced4ddcb4097134ff3c332f xmlns="26517f30-a096-45ee-8dcd-226fd63636f6">
      <Terms xmlns="http://schemas.microsoft.com/office/infopath/2007/PartnerControls"/>
    </lcf76f155ced4ddcb4097134ff3c332f>
    <Numberoffiles xmlns="26517f30-a096-45ee-8dcd-226fd63636f6" xsi:nil="true"/>
    <date_x002d_time xmlns="26517f30-a096-45ee-8dcd-226fd63636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2DB1-1215-4BE2-80E9-97D65D3E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17f30-a096-45ee-8dcd-226fd63636f6"/>
    <ds:schemaRef ds:uri="07ed17aa-2aff-4be6-bad4-fa6c8c18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12330-F5EF-4EC7-9C56-95FC3B57CC2D}">
  <ds:schemaRefs>
    <ds:schemaRef ds:uri="http://schemas.microsoft.com/office/2006/metadata/properties"/>
    <ds:schemaRef ds:uri="http://schemas.microsoft.com/office/infopath/2007/PartnerControls"/>
    <ds:schemaRef ds:uri="http://schemas.microsoft.com/sharepoint/v3"/>
    <ds:schemaRef ds:uri="07ed17aa-2aff-4be6-bad4-fa6c8c18855b"/>
    <ds:schemaRef ds:uri="26517f30-a096-45ee-8dcd-226fd63636f6"/>
  </ds:schemaRefs>
</ds:datastoreItem>
</file>

<file path=customXml/itemProps3.xml><?xml version="1.0" encoding="utf-8"?>
<ds:datastoreItem xmlns:ds="http://schemas.openxmlformats.org/officeDocument/2006/customXml" ds:itemID="{D7001FF9-9D3E-43A8-8053-0D2200C5BFFE}">
  <ds:schemaRefs>
    <ds:schemaRef ds:uri="http://schemas.microsoft.com/sharepoint/v3/contenttype/forms"/>
  </ds:schemaRefs>
</ds:datastoreItem>
</file>

<file path=customXml/itemProps4.xml><?xml version="1.0" encoding="utf-8"?>
<ds:datastoreItem xmlns:ds="http://schemas.openxmlformats.org/officeDocument/2006/customXml" ds:itemID="{B8799AFA-AD51-4940-9D39-C3CA1311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Links>
    <vt:vector size="24" baseType="variant">
      <vt:variant>
        <vt:i4>1966107</vt:i4>
      </vt:variant>
      <vt:variant>
        <vt:i4>9</vt:i4>
      </vt:variant>
      <vt:variant>
        <vt:i4>0</vt:i4>
      </vt:variant>
      <vt:variant>
        <vt:i4>5</vt:i4>
      </vt:variant>
      <vt:variant>
        <vt:lpwstr>https://www.osha.gov/heat-exposure/rulemaking</vt:lpwstr>
      </vt:variant>
      <vt:variant>
        <vt:lpwstr/>
      </vt:variant>
      <vt:variant>
        <vt:i4>4915271</vt:i4>
      </vt:variant>
      <vt:variant>
        <vt:i4>6</vt:i4>
      </vt:variant>
      <vt:variant>
        <vt:i4>0</vt:i4>
      </vt:variant>
      <vt:variant>
        <vt:i4>5</vt:i4>
      </vt:variant>
      <vt:variant>
        <vt:lpwstr>https://www.cdc.gov/niosh/docs/2016-106/pdfs/2016-106.pdf?id=10.26616/NIOSHPUB2016106</vt:lpwstr>
      </vt:variant>
      <vt:variant>
        <vt:lpwstr/>
      </vt:variant>
      <vt:variant>
        <vt:i4>1966107</vt:i4>
      </vt:variant>
      <vt:variant>
        <vt:i4>3</vt:i4>
      </vt:variant>
      <vt:variant>
        <vt:i4>0</vt:i4>
      </vt:variant>
      <vt:variant>
        <vt:i4>5</vt:i4>
      </vt:variant>
      <vt:variant>
        <vt:lpwstr>https://www.osha.gov/heat-exposure/rulemaking</vt:lpwstr>
      </vt:variant>
      <vt:variant>
        <vt:lpwstr/>
      </vt:variant>
      <vt:variant>
        <vt:i4>1966107</vt:i4>
      </vt:variant>
      <vt:variant>
        <vt:i4>0</vt:i4>
      </vt:variant>
      <vt:variant>
        <vt:i4>0</vt:i4>
      </vt:variant>
      <vt:variant>
        <vt:i4>5</vt:i4>
      </vt:variant>
      <vt:variant>
        <vt:lpwstr>https://www.osha.gov/heat-exposure/rulemaking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 Juliann@DIR</dc:creator>
  <cp:keywords/>
  <dc:description/>
  <cp:lastModifiedBy>Berg, Eric@DIR</cp:lastModifiedBy>
  <cp:revision>14</cp:revision>
  <cp:lastPrinted>2024-05-08T20:04:00Z</cp:lastPrinted>
  <dcterms:created xsi:type="dcterms:W3CDTF">2025-01-03T18:04:00Z</dcterms:created>
  <dcterms:modified xsi:type="dcterms:W3CDTF">2025-04-23T00:58:00Z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0x010100D2AB7044F9722E4AB4B741B5E8F36051</vt:lpwstr>
  </property>
  <property fmtid="{D5CDD505-2E9C-101B-9397-08002B2CF9AE}" pid="3" name="MediaServiceImageTags">
    <vt:lpwstr/>
  </property>
</Properties>
</file>