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4B0D" w14:textId="77777777" w:rsidR="00AB12CF" w:rsidRDefault="00AB12CF" w:rsidP="00D10EDE">
      <w:pPr>
        <w:rPr>
          <w:rFonts w:ascii="Arial" w:eastAsia="Arial" w:hAnsi="Arial" w:cs="Arial"/>
          <w:sz w:val="22"/>
          <w:szCs w:val="22"/>
        </w:rPr>
      </w:pPr>
    </w:p>
    <w:p w14:paraId="6CD7FB3A" w14:textId="77777777" w:rsidR="00AB12CF" w:rsidRDefault="00AB12CF" w:rsidP="00D10EDE">
      <w:pPr>
        <w:rPr>
          <w:rFonts w:ascii="Arial" w:eastAsia="Arial" w:hAnsi="Arial" w:cs="Arial"/>
          <w:sz w:val="22"/>
          <w:szCs w:val="22"/>
        </w:rPr>
      </w:pPr>
    </w:p>
    <w:p w14:paraId="560E129C" w14:textId="77777777" w:rsidR="00AB12CF" w:rsidRDefault="00AB12CF" w:rsidP="00D10EDE">
      <w:pPr>
        <w:rPr>
          <w:rFonts w:ascii="Arial" w:eastAsia="Arial" w:hAnsi="Arial" w:cs="Arial"/>
          <w:sz w:val="22"/>
          <w:szCs w:val="22"/>
        </w:rPr>
      </w:pPr>
    </w:p>
    <w:p w14:paraId="3DB3DF4D" w14:textId="77777777" w:rsidR="00AB12CF" w:rsidRDefault="00AB12CF" w:rsidP="00D10EDE">
      <w:pPr>
        <w:rPr>
          <w:rFonts w:ascii="Arial" w:eastAsia="Arial" w:hAnsi="Arial" w:cs="Arial"/>
          <w:sz w:val="22"/>
          <w:szCs w:val="22"/>
        </w:rPr>
      </w:pPr>
    </w:p>
    <w:p w14:paraId="2F6C18B0" w14:textId="77777777" w:rsidR="00AB12CF" w:rsidRDefault="00AB12CF" w:rsidP="00D10EDE">
      <w:pPr>
        <w:rPr>
          <w:rFonts w:ascii="Arial" w:eastAsia="Arial" w:hAnsi="Arial" w:cs="Arial"/>
          <w:sz w:val="22"/>
          <w:szCs w:val="22"/>
        </w:rPr>
      </w:pPr>
    </w:p>
    <w:p w14:paraId="269EE3C9" w14:textId="77777777" w:rsidR="00D10EDE" w:rsidRDefault="00D10EDE" w:rsidP="00D10EDE">
      <w:pPr>
        <w:rPr>
          <w:lang w:val="it-IT"/>
        </w:rPr>
      </w:pPr>
    </w:p>
    <w:p w14:paraId="19EDE48F" w14:textId="77777777" w:rsidR="00A33E12" w:rsidRDefault="00A33E12" w:rsidP="00D10EDE">
      <w:pPr>
        <w:rPr>
          <w:lang w:val="it-IT"/>
        </w:rPr>
      </w:pPr>
    </w:p>
    <w:p w14:paraId="42A9DB4F" w14:textId="2DF9E849" w:rsidR="00A33E12" w:rsidRPr="00FB09D8" w:rsidRDefault="00A33E12" w:rsidP="00A33E12">
      <w:pPr>
        <w:rPr>
          <w:rFonts w:ascii="Calibri" w:hAnsi="Calibri" w:cs="Calibri"/>
        </w:rPr>
      </w:pPr>
      <w:r>
        <w:rPr>
          <w:rFonts w:ascii="Calibri" w:eastAsia="Arial" w:hAnsi="Calibri" w:cs="Calibri"/>
        </w:rPr>
        <w:t xml:space="preserve">May </w:t>
      </w:r>
      <w:r w:rsidR="00115860">
        <w:rPr>
          <w:rFonts w:ascii="Calibri" w:eastAsia="Arial" w:hAnsi="Calibri" w:cs="Calibri"/>
        </w:rPr>
        <w:t>29</w:t>
      </w:r>
      <w:r>
        <w:rPr>
          <w:rFonts w:ascii="Calibri" w:eastAsia="Arial" w:hAnsi="Calibri" w:cs="Calibri"/>
        </w:rPr>
        <w:t>, 2026</w:t>
      </w:r>
    </w:p>
    <w:p w14:paraId="58B5925E" w14:textId="194A1CFC" w:rsidR="00FB09D8" w:rsidRPr="00FB09D8" w:rsidRDefault="00FB09D8" w:rsidP="00FB09D8">
      <w:pPr>
        <w:rPr>
          <w:rFonts w:ascii="Calibri" w:hAnsi="Calibri" w:cs="Calibri"/>
        </w:rPr>
      </w:pPr>
      <w:r>
        <w:rPr>
          <w:rFonts w:ascii="Calibri" w:hAnsi="Calibri" w:cs="Calibri"/>
        </w:rPr>
        <w:t>By email:</w:t>
      </w:r>
      <w:r>
        <w:rPr>
          <w:rFonts w:ascii="Calibri" w:eastAsia="Arial" w:hAnsi="Calibri" w:cs="Calibri"/>
        </w:rPr>
        <w:t xml:space="preserve"> rs@dir.ca.gov</w:t>
      </w:r>
    </w:p>
    <w:p w14:paraId="3A04B243" w14:textId="77777777" w:rsidR="00FB09D8" w:rsidRPr="00FB09D8" w:rsidRDefault="00FB09D8" w:rsidP="00FB09D8">
      <w:pPr>
        <w:pStyle w:val="Default"/>
        <w:rPr>
          <w:rFonts w:ascii="Calibri" w:hAnsi="Calibri" w:cs="Calibri"/>
        </w:rPr>
      </w:pPr>
    </w:p>
    <w:p w14:paraId="3FF2068E" w14:textId="77777777" w:rsidR="00A33E12" w:rsidRPr="00FB09D8" w:rsidRDefault="00A33E12" w:rsidP="00FB09D8">
      <w:pPr>
        <w:spacing w:after="0"/>
        <w:rPr>
          <w:rFonts w:ascii="Calibri" w:hAnsi="Calibri" w:cs="Calibri"/>
        </w:rPr>
      </w:pPr>
      <w:r>
        <w:rPr>
          <w:rFonts w:ascii="Calibri" w:eastAsia="Arial" w:hAnsi="Calibri" w:cs="Calibri"/>
        </w:rPr>
        <w:t>California Division of Occupational Safety and Health</w:t>
      </w:r>
    </w:p>
    <w:p w14:paraId="42F25365" w14:textId="77777777" w:rsidR="00A33E12" w:rsidRPr="00FB09D8" w:rsidRDefault="00A33E12" w:rsidP="00FB09D8">
      <w:pPr>
        <w:spacing w:after="0"/>
        <w:rPr>
          <w:rFonts w:ascii="Calibri" w:hAnsi="Calibri" w:cs="Calibri"/>
        </w:rPr>
      </w:pPr>
      <w:r>
        <w:rPr>
          <w:rFonts w:ascii="Calibri" w:eastAsia="Arial" w:hAnsi="Calibri" w:cs="Calibri"/>
        </w:rPr>
        <w:t>Regulatory Services Unit</w:t>
      </w:r>
    </w:p>
    <w:p w14:paraId="37039327" w14:textId="77777777" w:rsidR="00163687" w:rsidRPr="00FB09D8" w:rsidRDefault="00163687" w:rsidP="00A33E12">
      <w:pPr>
        <w:rPr>
          <w:rFonts w:ascii="Calibri" w:hAnsi="Calibri" w:cs="Calibri"/>
        </w:rPr>
      </w:pPr>
    </w:p>
    <w:p w14:paraId="34998B7A" w14:textId="77777777" w:rsidR="00A33E12" w:rsidRPr="00FB09D8" w:rsidRDefault="00A33E12" w:rsidP="00A33E12">
      <w:pPr>
        <w:rPr>
          <w:rFonts w:ascii="Calibri" w:hAnsi="Calibri" w:cs="Calibri"/>
        </w:rPr>
      </w:pPr>
      <w:r>
        <w:rPr>
          <w:rFonts w:ascii="Calibri" w:eastAsia="Arial" w:hAnsi="Calibri" w:cs="Calibri"/>
          <w:b/>
          <w:bCs/>
        </w:rPr>
        <w:t>Re: Comments on Revised Discussion Draft — Proposed § 51XX, Occupational Exposure to Plume in Health Care (April 6, 2026 Revision)</w:t>
      </w:r>
    </w:p>
    <w:p w14:paraId="01889840" w14:textId="77777777" w:rsidR="00A33E12" w:rsidRPr="00FB09D8" w:rsidRDefault="00A33E12" w:rsidP="00A33E12">
      <w:pPr>
        <w:spacing w:after="240"/>
        <w:rPr>
          <w:rFonts w:ascii="Calibri" w:hAnsi="Calibri" w:cs="Calibri"/>
        </w:rPr>
      </w:pPr>
    </w:p>
    <w:p w14:paraId="704579F5" w14:textId="77777777" w:rsidR="00A33E12" w:rsidRPr="00FB09D8" w:rsidRDefault="00A33E12" w:rsidP="00A33E12">
      <w:pPr>
        <w:spacing w:after="240"/>
        <w:rPr>
          <w:rFonts w:ascii="Calibri" w:hAnsi="Calibri" w:cs="Calibri"/>
        </w:rPr>
      </w:pPr>
      <w:r>
        <w:rPr>
          <w:rFonts w:ascii="Calibri" w:eastAsia="Arial" w:hAnsi="Calibri" w:cs="Calibri"/>
        </w:rPr>
        <w:t>Dear Cal/OSHA Regulatory Services Unit,</w:t>
      </w:r>
    </w:p>
    <w:p w14:paraId="34649A60" w14:textId="02A80214" w:rsidR="00A33E12" w:rsidRPr="00FB09D8" w:rsidRDefault="00A33E12" w:rsidP="00A33E12">
      <w:pPr>
        <w:spacing w:after="240"/>
        <w:rPr>
          <w:rFonts w:ascii="Calibri" w:hAnsi="Calibri" w:cs="Calibri"/>
        </w:rPr>
      </w:pPr>
      <w:r>
        <w:rPr>
          <w:rFonts w:ascii="Calibri" w:eastAsia="Arial" w:hAnsi="Calibri" w:cs="Calibri"/>
        </w:rPr>
        <w:t>The California Ambulatory Surgery Association (CASA) appreciates the opportunity to submit comments on the April 6, 2026 revised discussion draft of proposed § 51XX. CASA represents 448 of California’s ambulatory surgery centers, and we have followed this rulemaking closely since AB 1007 was signed into law in October 2023. We support its core hazards of surgical plume.</w:t>
      </w:r>
    </w:p>
    <w:p w14:paraId="60A6F277" w14:textId="27AC8793" w:rsidR="00163687" w:rsidRPr="003639A7" w:rsidRDefault="00A33E12" w:rsidP="00A33E12">
      <w:pPr>
        <w:spacing w:after="240"/>
        <w:rPr>
          <w:rFonts w:ascii="Calibri" w:eastAsia="Arial" w:hAnsi="Calibri" w:cs="Calibri"/>
        </w:rPr>
      </w:pPr>
      <w:r>
        <w:rPr>
          <w:rFonts w:ascii="Calibri" w:eastAsia="Arial" w:hAnsi="Calibri" w:cs="Calibri"/>
        </w:rPr>
        <w:t xml:space="preserve">Our members take that obligation seriously. Many CASA facilities are already using plume evacuation systems and have incorporated plume safety protocols into their standard procedures, consistent with the Association of periOperative Registered Nurses (AORN) </w:t>
      </w:r>
      <w:r w:rsidRPr="00662FC4">
        <w:rPr>
          <w:rFonts w:ascii="Calibri" w:eastAsia="Arial" w:hAnsi="Calibri" w:cs="Calibri"/>
        </w:rPr>
        <w:t xml:space="preserve">evidence-based Guideline for Surgical Smoke Safety. We are not writing to oppose this regulation. </w:t>
      </w:r>
      <w:r w:rsidRPr="00662FC4">
        <w:rPr>
          <w:rFonts w:ascii="Calibri" w:hAnsi="Calibri" w:cs="Calibri"/>
        </w:rPr>
        <w:t xml:space="preserve">We are writing because two specific provisions in the current draft exceed the statutory mandate of AB 1007, are not technically or operationally supported, and in their current form would impose costs and burdens severe enough to threaten the viability of facilities that have been serving California communities for decades </w:t>
      </w:r>
      <w:r w:rsidR="00F42D49">
        <w:rPr>
          <w:rFonts w:ascii="Calibri" w:hAnsi="Calibri" w:cs="Calibri"/>
        </w:rPr>
        <w:t>-</w:t>
      </w:r>
      <w:r w:rsidRPr="00662FC4">
        <w:rPr>
          <w:rFonts w:ascii="Calibri" w:hAnsi="Calibri" w:cs="Calibri"/>
        </w:rPr>
        <w:t xml:space="preserve"> at a time when the public are rightly focused on health care affordability and accessibility. These are not abstract concerns </w:t>
      </w:r>
      <w:r w:rsidR="00F42D49">
        <w:rPr>
          <w:rFonts w:ascii="Calibri" w:hAnsi="Calibri" w:cs="Calibri"/>
        </w:rPr>
        <w:t>-</w:t>
      </w:r>
      <w:r w:rsidRPr="00662FC4">
        <w:rPr>
          <w:rFonts w:ascii="Calibri" w:hAnsi="Calibri" w:cs="Calibri"/>
        </w:rPr>
        <w:t xml:space="preserve"> they go to whether some of our members can remain open, placing patient access to timely, high-quality, and cost-effective surgical care at risk.</w:t>
      </w:r>
    </w:p>
    <w:p w14:paraId="4CCF3DB9" w14:textId="77777777" w:rsidR="00A33E12" w:rsidRPr="00FB09D8" w:rsidRDefault="00A33E12" w:rsidP="00A33E12">
      <w:pPr>
        <w:spacing w:after="240"/>
        <w:rPr>
          <w:rFonts w:ascii="Calibri" w:hAnsi="Calibri" w:cs="Calibri"/>
        </w:rPr>
      </w:pPr>
      <w:r>
        <w:rPr>
          <w:rFonts w:ascii="Calibri" w:eastAsia="Arial" w:hAnsi="Calibri" w:cs="Calibri"/>
          <w:b/>
          <w:bCs/>
        </w:rPr>
        <w:lastRenderedPageBreak/>
        <w:t>I. The Certified Industrial Hygienist Requirement Exceeds the Statute and Is Not Achievable</w:t>
      </w:r>
    </w:p>
    <w:p w14:paraId="457FB9A6" w14:textId="77777777" w:rsidR="00A33E12" w:rsidRDefault="00A33E12" w:rsidP="00A33E12">
      <w:pPr>
        <w:spacing w:after="240"/>
      </w:pPr>
      <w:r>
        <w:rPr>
          <w:rFonts w:ascii="Arial" w:eastAsia="Arial" w:hAnsi="Arial" w:cs="Arial"/>
          <w:sz w:val="22"/>
          <w:szCs w:val="22"/>
        </w:rPr>
        <w:t>Section (c)(1) requires that the written exposure control plan be developed “under the guidance of a qualified person,” and § (b)(15) defines that person as someone competent in industrial hygiene practice, expressly citing a Certified Industrial Hygienist (CIH) as the benchmark for that competency. AB 1007 does not require this. The statute’s directive is the use of a plume scavenging system to the extent technologically feasible — it says nothing about the professional credential of whoever drafts the facility’s internal safety plan. The CIH designation is a rigorous credential developed primarily for industrial and manufacturing contexts. It is not widely available to ASCs, particularly smaller community-based centers, independent physician-owned facilities, or those in rural areas. Requiring CIH oversight for every ASC’s exposure control plan would create a compliance bottleneck that has no parallel in how comparable Title 8 standards are structured and no basis in the law that authorized this rulemaking.</w:t>
      </w:r>
    </w:p>
    <w:p w14:paraId="5001EE2B" w14:textId="77777777" w:rsidR="00A33E12" w:rsidRDefault="00A33E12" w:rsidP="00A33E12">
      <w:pPr>
        <w:spacing w:after="240"/>
      </w:pPr>
      <w:r>
        <w:rPr>
          <w:rFonts w:ascii="Arial" w:eastAsia="Arial" w:hAnsi="Arial" w:cs="Arial"/>
          <w:sz w:val="22"/>
          <w:szCs w:val="22"/>
        </w:rPr>
        <w:t>Our members already work with qualified clinical and safety professionals who understand their specific procedures, equipment, and plume-generating case mix. That facility-level expertise is more relevant to ASC plume safety than a credential designed for factory environments. We respectfully ask the Division to replace the CIH requirement with a practical competency standard — a designated person with demonstrated knowledge of plume hazards and the systems in use at their facility — which would be achievable, enforceable, and sufficient to meet the statute’s intent.</w:t>
      </w:r>
    </w:p>
    <w:p w14:paraId="751AD1CB" w14:textId="77777777" w:rsidR="00A33E12" w:rsidRDefault="00A33E12" w:rsidP="00A33E12">
      <w:pPr>
        <w:spacing w:after="240"/>
      </w:pPr>
      <w:r>
        <w:rPr>
          <w:rFonts w:ascii="Arial" w:eastAsia="Arial" w:hAnsi="Arial" w:cs="Arial"/>
          <w:b/>
          <w:bCs/>
          <w:sz w:val="22"/>
          <w:szCs w:val="22"/>
        </w:rPr>
        <w:t>II. The Outdoor Exhaust Requirement Is a Construction Mandate That Most Facilities Cannot Meet</w:t>
      </w:r>
    </w:p>
    <w:p w14:paraId="20EF4159" w14:textId="1C7556AE" w:rsidR="00A33E12" w:rsidRDefault="00A33E12" w:rsidP="00A33E12">
      <w:pPr>
        <w:spacing w:after="240"/>
      </w:pPr>
      <w:r>
        <w:rPr>
          <w:rFonts w:ascii="Arial" w:eastAsia="Arial" w:hAnsi="Arial" w:cs="Arial"/>
          <w:sz w:val="22"/>
          <w:szCs w:val="22"/>
        </w:rPr>
        <w:t xml:space="preserve">Section (d)(1)(A)(3) requires plume evacuation systems to exhaust either directly outdoors, at least 25 feet from any door, window, air intake, or occupied area, or indoors through both a ULPA filter and a gas phase filter. Section (d)(1)(B) separately mandates a minimum of 20 air changes per hour. </w:t>
      </w:r>
    </w:p>
    <w:p w14:paraId="15AABCB1" w14:textId="77777777" w:rsidR="00A33E12" w:rsidRDefault="00A33E12" w:rsidP="00A33E12">
      <w:pPr>
        <w:spacing w:after="240"/>
      </w:pPr>
      <w:r>
        <w:rPr>
          <w:rFonts w:ascii="Arial" w:eastAsia="Arial" w:hAnsi="Arial" w:cs="Arial"/>
          <w:sz w:val="22"/>
          <w:szCs w:val="22"/>
        </w:rPr>
        <w:t>The outdoor exhaust option is not a ventilation choice — it is a construction requirement. ASC operating rooms are interior spaces whose HVAC systems are governed by HCAI facility standards. Achieving a 25-foot outdoor clearance would require architectural redesign, construction permitting, and in most cases formal HCAI project approval, a process that routinely takes years and costs in the hundreds of thousands of dollars. For facilities in multi-tenant medical buildings or older structures, may not be physically achievable at any cost or prohibited by the lease terms. AB 1007 does not call for this, and there is no evidence that it is necessary to achieve worker protection.</w:t>
      </w:r>
    </w:p>
    <w:p w14:paraId="52157F1B" w14:textId="77777777" w:rsidR="00A33E12" w:rsidRDefault="00A33E12" w:rsidP="00A33E12">
      <w:pPr>
        <w:spacing w:after="240"/>
      </w:pPr>
      <w:r>
        <w:rPr>
          <w:rFonts w:ascii="Arial" w:eastAsia="Arial" w:hAnsi="Arial" w:cs="Arial"/>
          <w:sz w:val="22"/>
          <w:szCs w:val="22"/>
        </w:rPr>
        <w:t>A properly operating plume evacuation system captures surgical smoke at the site of origin, at the surgical field, before it can disperse into room air. That is precisely what source-capture technology does. Once plume is captured and passed through ULPA and gas phase filtration, the contaminant has been addressed. Requiring that same treated air to then exit the building 25 feet from any occupied area adds no meaningful protection for staff — the protection already occurred at the point of capture.</w:t>
      </w:r>
    </w:p>
    <w:p w14:paraId="1DBA207A" w14:textId="77777777" w:rsidR="00A33E12" w:rsidRDefault="00A33E12" w:rsidP="00A33E12">
      <w:pPr>
        <w:spacing w:after="240"/>
      </w:pPr>
      <w:r>
        <w:rPr>
          <w:rFonts w:ascii="Arial" w:eastAsia="Arial" w:hAnsi="Arial" w:cs="Arial"/>
          <w:sz w:val="22"/>
          <w:szCs w:val="22"/>
        </w:rPr>
        <w:t xml:space="preserve">We would also note that the requirement for both a ULPA filter and a gas phase filter applies uniformly regardless of procedure type or anticipated plume volume. The plume generated during a brief dermatologic procedure is categorically different from that of a prolonged laparoscopic case. A proportionality standard — calibrated to the level of plume reasonably anticipated for the procedure being performed, and consistent with the </w:t>
      </w:r>
      <w:r>
        <w:rPr>
          <w:rFonts w:ascii="Arial" w:eastAsia="Arial" w:hAnsi="Arial" w:cs="Arial"/>
          <w:sz w:val="22"/>
          <w:szCs w:val="22"/>
        </w:rPr>
        <w:lastRenderedPageBreak/>
        <w:t>statute’s “to the extent technologically feasible” language — would be more appropriate and scientifically defensible.</w:t>
      </w:r>
    </w:p>
    <w:p w14:paraId="087CB0DB" w14:textId="77777777" w:rsidR="00A33E12" w:rsidRPr="00FB09D8" w:rsidRDefault="00A33E12" w:rsidP="00A33E12">
      <w:pPr>
        <w:spacing w:after="240"/>
      </w:pPr>
      <w:r>
        <w:rPr>
          <w:rFonts w:ascii="Arial" w:eastAsia="Arial" w:hAnsi="Arial" w:cs="Arial"/>
          <w:b/>
          <w:bCs/>
          <w:sz w:val="22"/>
          <w:szCs w:val="22"/>
        </w:rPr>
        <w:t>III. Twenty States Have Implemented Effective Standards Without These Requirements</w:t>
      </w:r>
    </w:p>
    <w:p w14:paraId="32996E71" w14:textId="77777777" w:rsidR="00A33E12" w:rsidRPr="00FB09D8" w:rsidRDefault="00A33E12" w:rsidP="00A33E12">
      <w:pPr>
        <w:spacing w:after="240"/>
      </w:pPr>
      <w:r>
        <w:rPr>
          <w:rFonts w:ascii="Arial" w:eastAsia="Arial" w:hAnsi="Arial" w:cs="Arial"/>
          <w:sz w:val="22"/>
          <w:szCs w:val="22"/>
        </w:rPr>
        <w:t>California is not starting from scratch. Twenty states have enacted surgical smoke evacuation laws, and the experience of those states offers a clear lesson: effective worker protection does not require construction mandates or industrial hygiene credentialing. The states that have implemented this well share a common framework — source-capture evacuation, facility policy, and staff training — and they have left the specific means of achieving that outcome to facilities operating within that framework.</w:t>
      </w:r>
    </w:p>
    <w:p w14:paraId="432EB752" w14:textId="77777777" w:rsidR="00A33E12" w:rsidRPr="00FB09D8" w:rsidRDefault="00A33E12" w:rsidP="00A33E12">
      <w:pPr>
        <w:spacing w:after="240"/>
      </w:pPr>
      <w:r>
        <w:rPr>
          <w:rFonts w:ascii="Arial" w:eastAsia="Arial" w:hAnsi="Arial" w:cs="Arial"/>
          <w:sz w:val="22"/>
          <w:szCs w:val="22"/>
        </w:rPr>
        <w:t>Washington State’s law (RCW 49.17.500) requires hospitals and ASCs to have controls in place to reduce exposure to surgical smoke, with enforcement centered on review of facility policies. New York’s law focuses on facility policy and the use of a smoke evacuation system. None of these states imposed outdoor exhaust distances, mandatory construction modifications, or specialized industrial credentials. All are protecting their health care workers.</w:t>
      </w:r>
    </w:p>
    <w:p w14:paraId="723BAF8F" w14:textId="77777777" w:rsidR="00A33E12" w:rsidRDefault="00A33E12" w:rsidP="00A33E12">
      <w:pPr>
        <w:spacing w:after="240"/>
      </w:pPr>
      <w:r>
        <w:rPr>
          <w:rFonts w:ascii="Arial" w:eastAsia="Arial" w:hAnsi="Arial" w:cs="Arial"/>
          <w:sz w:val="22"/>
          <w:szCs w:val="22"/>
        </w:rPr>
        <w:t>California has the opportunity to adopt a standard that is as protective as any in the country. The current draft, as written, would be the most operationally burdensome surgical smoke regulation in the United States without evidence that the additional burdens produce better safety outcomes.</w:t>
      </w:r>
    </w:p>
    <w:p w14:paraId="76CAFAEE" w14:textId="77777777" w:rsidR="00A33E12" w:rsidRDefault="00A33E12" w:rsidP="00A33E12">
      <w:pPr>
        <w:spacing w:after="240"/>
      </w:pPr>
      <w:r>
        <w:rPr>
          <w:rFonts w:ascii="Arial" w:eastAsia="Arial" w:hAnsi="Arial" w:cs="Arial"/>
          <w:b/>
          <w:bCs/>
          <w:sz w:val="22"/>
          <w:szCs w:val="22"/>
        </w:rPr>
        <w:t>IV. The Regulation Should Adopt AORN Guidelines as Its Technical Benchmark</w:t>
      </w:r>
    </w:p>
    <w:p w14:paraId="64097192" w14:textId="77777777" w:rsidR="00A33E12" w:rsidRDefault="00A33E12" w:rsidP="00A33E12">
      <w:pPr>
        <w:spacing w:after="240"/>
      </w:pPr>
      <w:r>
        <w:rPr>
          <w:rFonts w:ascii="Arial" w:eastAsia="Arial" w:hAnsi="Arial" w:cs="Arial"/>
          <w:sz w:val="22"/>
          <w:szCs w:val="22"/>
        </w:rPr>
        <w:t>CASA recommends that the regulation incorporate the AORN Guideline for Surgical Smoke Safety as its primary technical reference, rather than prescribing specific equipment configurations in the regulatory text. AORN is the foremost evidence-based authority on perioperative safety practice. Its guidelines are peer-reviewed, regularly updated as technology and clinical evidence evolve, and already cited in the draft’s Appendix A.</w:t>
      </w:r>
    </w:p>
    <w:p w14:paraId="5956EAA5" w14:textId="60926AD2" w:rsidR="00A33E12" w:rsidRDefault="00A33E12" w:rsidP="00A33E12">
      <w:pPr>
        <w:spacing w:after="240"/>
        <w:rPr>
          <w:rFonts w:ascii="Arial" w:eastAsia="Arial" w:hAnsi="Arial" w:cs="Arial"/>
          <w:sz w:val="22"/>
          <w:szCs w:val="22"/>
        </w:rPr>
      </w:pPr>
      <w:r>
        <w:rPr>
          <w:rFonts w:ascii="Arial" w:eastAsia="Arial" w:hAnsi="Arial" w:cs="Arial"/>
          <w:sz w:val="22"/>
          <w:szCs w:val="22"/>
        </w:rPr>
        <w:t>A regulation structured around current AORN guidance would remain accurate and current as plume evacuation technology continues to develop — without requiring the Division to reopen rulemaking each time a more effective system enters the market. This is how durable safety standards work in a field where technology is advancing rapidly. It would also align California with the approach AORN has advocated in surgical smoke legislation across the country, providing facilities with a clear, credible, and up-to-date compliance framework.</w:t>
      </w:r>
    </w:p>
    <w:p w14:paraId="11D36D8A" w14:textId="77777777" w:rsidR="00FB09D8" w:rsidRDefault="00FB09D8" w:rsidP="00A33E12">
      <w:pPr>
        <w:spacing w:after="240"/>
      </w:pPr>
    </w:p>
    <w:p w14:paraId="76749866" w14:textId="77777777" w:rsidR="00A33E12" w:rsidRDefault="00A33E12" w:rsidP="00A33E12">
      <w:pPr>
        <w:spacing w:after="240"/>
      </w:pPr>
      <w:r>
        <w:rPr>
          <w:rFonts w:ascii="Arial" w:eastAsia="Arial" w:hAnsi="Arial" w:cs="Arial"/>
          <w:b/>
          <w:bCs/>
          <w:sz w:val="22"/>
          <w:szCs w:val="22"/>
        </w:rPr>
        <w:t>V. What CASA Supports</w:t>
      </w:r>
    </w:p>
    <w:p w14:paraId="720786CD" w14:textId="77777777" w:rsidR="00A33E12" w:rsidRDefault="00A33E12" w:rsidP="00A33E12">
      <w:pPr>
        <w:spacing w:after="240"/>
      </w:pPr>
      <w:r>
        <w:rPr>
          <w:rFonts w:ascii="Arial" w:eastAsia="Arial" w:hAnsi="Arial" w:cs="Arial"/>
          <w:sz w:val="22"/>
          <w:szCs w:val="22"/>
        </w:rPr>
        <w:t>To be explicit: CASA is not opposing this regulation. We support the written exposure control plan requirement, staff training for personnel working in areas where plume is generated, the use of plume evacuation systems as the primary engineering control, source capture at the site of origin as the operative standard, and annual plan review and recordkeeping. These provisions align with best practices</w:t>
      </w:r>
      <w:r>
        <w:rPr>
          <w:rFonts w:ascii="Arial" w:eastAsia="Arial" w:hAnsi="Arial" w:cs="Arial"/>
          <w:strike/>
          <w:sz w:val="22"/>
          <w:szCs w:val="22"/>
        </w:rPr>
        <w:t xml:space="preserve"> </w:t>
      </w:r>
      <w:r>
        <w:rPr>
          <w:rFonts w:ascii="Arial" w:eastAsia="Arial" w:hAnsi="Arial" w:cs="Arial"/>
          <w:sz w:val="22"/>
          <w:szCs w:val="22"/>
        </w:rPr>
        <w:t>our members are already implementing, and they align with what AB 1007 asked Cal/OSHA to accomplish.</w:t>
      </w:r>
    </w:p>
    <w:p w14:paraId="25CB4928" w14:textId="77777777" w:rsidR="00A33E12" w:rsidRDefault="00A33E12" w:rsidP="00A33E12">
      <w:pPr>
        <w:spacing w:after="240"/>
      </w:pPr>
      <w:r>
        <w:rPr>
          <w:rFonts w:ascii="Arial" w:eastAsia="Arial" w:hAnsi="Arial" w:cs="Arial"/>
          <w:b/>
          <w:bCs/>
          <w:sz w:val="22"/>
          <w:szCs w:val="22"/>
        </w:rPr>
        <w:lastRenderedPageBreak/>
        <w:t>Summary of Requested Revisions</w:t>
      </w:r>
    </w:p>
    <w:p w14:paraId="02C23F8E" w14:textId="77777777" w:rsidR="00A33E12" w:rsidRDefault="00A33E12" w:rsidP="00A33E12">
      <w:pPr>
        <w:pStyle w:val="ListParagraph"/>
        <w:numPr>
          <w:ilvl w:val="0"/>
          <w:numId w:val="1"/>
        </w:numPr>
        <w:spacing w:after="240"/>
      </w:pPr>
      <w:r>
        <w:rPr>
          <w:rFonts w:ascii="Arial" w:eastAsia="Arial" w:hAnsi="Arial" w:cs="Arial"/>
          <w:sz w:val="22"/>
          <w:szCs w:val="22"/>
        </w:rPr>
        <w:t>Remove or revise the Certified Industrial Hygienist requirement. Replace it with a practical, facility-appropriate competency standard that ASCs can realistically meet, consistent with existing Title 8 frameworks.</w:t>
      </w:r>
    </w:p>
    <w:p w14:paraId="710CCAA7" w14:textId="77777777" w:rsidR="00A33E12" w:rsidRDefault="00A33E12" w:rsidP="00A33E12">
      <w:pPr>
        <w:pStyle w:val="ListParagraph"/>
        <w:numPr>
          <w:ilvl w:val="0"/>
          <w:numId w:val="1"/>
        </w:numPr>
        <w:spacing w:after="240"/>
      </w:pPr>
      <w:r>
        <w:rPr>
          <w:rFonts w:ascii="Arial" w:eastAsia="Arial" w:hAnsi="Arial" w:cs="Arial"/>
          <w:sz w:val="22"/>
          <w:szCs w:val="22"/>
        </w:rPr>
        <w:t>Eliminate the 25-foot outdoor exhaust requirement. Allow a properly operating plume evacuation system with ULPA and gas phase filtration at the site of origin to satisfy the engineering control standard.</w:t>
      </w:r>
    </w:p>
    <w:p w14:paraId="12C75EFC" w14:textId="77777777" w:rsidR="00A33E12" w:rsidRDefault="00A33E12" w:rsidP="00A33E12">
      <w:pPr>
        <w:pStyle w:val="ListParagraph"/>
        <w:numPr>
          <w:ilvl w:val="0"/>
          <w:numId w:val="1"/>
        </w:numPr>
        <w:spacing w:after="240"/>
      </w:pPr>
      <w:r>
        <w:rPr>
          <w:rFonts w:ascii="Arial" w:eastAsia="Arial" w:hAnsi="Arial" w:cs="Arial"/>
          <w:sz w:val="22"/>
          <w:szCs w:val="22"/>
        </w:rPr>
        <w:t>Apply a proportionality standard to filter requirements, calibrated to the level of plume generation reasonably anticipated for the type of procedure being performed.</w:t>
      </w:r>
    </w:p>
    <w:p w14:paraId="0593ACC3" w14:textId="77777777" w:rsidR="00A33E12" w:rsidRDefault="00A33E12" w:rsidP="00A33E12">
      <w:pPr>
        <w:pStyle w:val="ListParagraph"/>
        <w:numPr>
          <w:ilvl w:val="0"/>
          <w:numId w:val="1"/>
        </w:numPr>
        <w:spacing w:after="240"/>
      </w:pPr>
      <w:r>
        <w:rPr>
          <w:rFonts w:ascii="Arial" w:eastAsia="Arial" w:hAnsi="Arial" w:cs="Arial"/>
          <w:sz w:val="22"/>
          <w:szCs w:val="22"/>
        </w:rPr>
        <w:t>Adopt the AORN Guideline for Surgical Smoke Safety as the primary technical benchmark, allowing the regulation to remain current as technology evolves without requiring repeated rulemaking.</w:t>
      </w:r>
    </w:p>
    <w:p w14:paraId="0D5765B2" w14:textId="77777777" w:rsidR="00A33E12" w:rsidRDefault="00A33E12" w:rsidP="00A33E12">
      <w:pPr>
        <w:pStyle w:val="ListParagraph"/>
        <w:numPr>
          <w:ilvl w:val="0"/>
          <w:numId w:val="1"/>
        </w:numPr>
        <w:spacing w:after="240"/>
      </w:pPr>
      <w:r>
        <w:rPr>
          <w:rFonts w:ascii="Arial" w:eastAsia="Arial" w:hAnsi="Arial" w:cs="Arial"/>
          <w:sz w:val="22"/>
          <w:szCs w:val="22"/>
        </w:rPr>
        <w:t>Provide a minimum of twelve months following final adoption for full implementation, to allow for procurement, training, and where necessary HCAI facility review and approval.</w:t>
      </w:r>
    </w:p>
    <w:p w14:paraId="6CE5219F" w14:textId="77777777" w:rsidR="00A33E12" w:rsidRDefault="00A33E12" w:rsidP="00A33E12">
      <w:pPr>
        <w:spacing w:after="240"/>
      </w:pPr>
      <w:r>
        <w:rPr>
          <w:rFonts w:ascii="Arial" w:eastAsia="Arial" w:hAnsi="Arial" w:cs="Arial"/>
          <w:sz w:val="22"/>
          <w:szCs w:val="22"/>
        </w:rPr>
        <w:t>CASA and its members are committed to the safety of the people who work in our operating rooms. With longstanding experience in California’s ASC industry, we fully understand what is at stake for both our workforce and the sustainability of our facilities. We ask only that the final standard give us the tools to deliver that protection in a way that is workable, evidence-based, and grounded in what the legislature actually directed. We welcome further dialogue and are glad to make CASA members available to the Division for additional input at any stage of this process.</w:t>
      </w:r>
    </w:p>
    <w:p w14:paraId="2D47C74D" w14:textId="77777777" w:rsidR="00A33E12" w:rsidRDefault="00A33E12" w:rsidP="00A33E12">
      <w:r>
        <w:rPr>
          <w:rFonts w:ascii="Arial" w:eastAsia="Arial" w:hAnsi="Arial" w:cs="Arial"/>
          <w:sz w:val="22"/>
          <w:szCs w:val="22"/>
        </w:rPr>
        <w:t>Respectfully submitted,</w:t>
      </w:r>
    </w:p>
    <w:p w14:paraId="557BC922" w14:textId="7A216C76" w:rsidR="00A33E12" w:rsidRDefault="00FB09D8" w:rsidP="00A33E12">
      <w:r>
        <w:rPr>
          <w:noProof/>
        </w:rPr>
        <w:drawing>
          <wp:inline distT="0" distB="0" distL="0" distR="0" wp14:anchorId="5E37963B" wp14:editId="4D5CBF3D">
            <wp:extent cx="897972" cy="380391"/>
            <wp:effectExtent l="0" t="0" r="3810" b="635"/>
            <wp:docPr id="1988769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69638" name=""/>
                    <pic:cNvPicPr/>
                  </pic:nvPicPr>
                  <pic:blipFill>
                    <a:blip r:embed="rId7"/>
                    <a:stretch>
                      <a:fillRect/>
                    </a:stretch>
                  </pic:blipFill>
                  <pic:spPr>
                    <a:xfrm>
                      <a:off x="0" y="0"/>
                      <a:ext cx="941112" cy="398666"/>
                    </a:xfrm>
                    <a:prstGeom prst="rect">
                      <a:avLst/>
                    </a:prstGeom>
                  </pic:spPr>
                </pic:pic>
              </a:graphicData>
            </a:graphic>
          </wp:inline>
        </w:drawing>
      </w:r>
    </w:p>
    <w:p w14:paraId="49A816BE" w14:textId="39210692" w:rsidR="00A33E12" w:rsidRPr="003F247F" w:rsidRDefault="00A33E12" w:rsidP="00FB09D8">
      <w:pPr>
        <w:spacing w:after="0"/>
        <w:rPr>
          <w:rFonts w:ascii="Arial" w:eastAsia="Arial" w:hAnsi="Arial" w:cs="Arial"/>
          <w:sz w:val="22"/>
          <w:szCs w:val="22"/>
        </w:rPr>
      </w:pPr>
      <w:r>
        <w:rPr>
          <w:rFonts w:ascii="Arial" w:eastAsia="Arial" w:hAnsi="Arial" w:cs="Arial"/>
          <w:sz w:val="22"/>
          <w:szCs w:val="22"/>
        </w:rPr>
        <w:t>Carrie Millsap</w:t>
      </w:r>
    </w:p>
    <w:p w14:paraId="0F5CFBF5" w14:textId="4184537E" w:rsidR="00A33E12" w:rsidRDefault="00A33E12" w:rsidP="00FB09D8">
      <w:pPr>
        <w:spacing w:after="0"/>
      </w:pPr>
      <w:r>
        <w:rPr>
          <w:rFonts w:ascii="Arial" w:eastAsia="Arial" w:hAnsi="Arial" w:cs="Arial"/>
          <w:sz w:val="22"/>
          <w:szCs w:val="22"/>
        </w:rPr>
        <w:t>Board President, California Ambulatory Surgery Association</w:t>
      </w:r>
    </w:p>
    <w:p w14:paraId="3918440A" w14:textId="77777777" w:rsidR="00FB09D8" w:rsidRDefault="00FB09D8" w:rsidP="00A33E12">
      <w:pPr>
        <w:rPr>
          <w:rFonts w:ascii="Arial" w:eastAsia="Arial" w:hAnsi="Arial" w:cs="Arial"/>
          <w:sz w:val="22"/>
          <w:szCs w:val="22"/>
        </w:rPr>
      </w:pPr>
    </w:p>
    <w:p w14:paraId="4C66B21F" w14:textId="0C83D893" w:rsidR="00A33E12" w:rsidRPr="00A33E12" w:rsidRDefault="00A33E12" w:rsidP="00A33E12">
      <w:r>
        <w:rPr>
          <w:rFonts w:ascii="Arial" w:eastAsia="Arial" w:hAnsi="Arial" w:cs="Arial"/>
          <w:sz w:val="22"/>
          <w:szCs w:val="22"/>
        </w:rPr>
        <w:t>Submitted on behalf of CASA by:</w:t>
      </w:r>
    </w:p>
    <w:p w14:paraId="1ACC34CB" w14:textId="7C4C645E" w:rsidR="00A33E12" w:rsidRDefault="00FB09D8" w:rsidP="00A33E12">
      <w:r>
        <w:rPr>
          <w:noProof/>
        </w:rPr>
        <w:drawing>
          <wp:inline distT="0" distB="0" distL="0" distR="0" wp14:anchorId="19B371FF" wp14:editId="22E51B4E">
            <wp:extent cx="826618" cy="309527"/>
            <wp:effectExtent l="0" t="0" r="0" b="0"/>
            <wp:docPr id="1779357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57631" name=""/>
                    <pic:cNvPicPr/>
                  </pic:nvPicPr>
                  <pic:blipFill>
                    <a:blip r:embed="rId8"/>
                    <a:stretch>
                      <a:fillRect/>
                    </a:stretch>
                  </pic:blipFill>
                  <pic:spPr>
                    <a:xfrm>
                      <a:off x="0" y="0"/>
                      <a:ext cx="882570" cy="330478"/>
                    </a:xfrm>
                    <a:prstGeom prst="rect">
                      <a:avLst/>
                    </a:prstGeom>
                  </pic:spPr>
                </pic:pic>
              </a:graphicData>
            </a:graphic>
          </wp:inline>
        </w:drawing>
      </w:r>
    </w:p>
    <w:p w14:paraId="271207F2" w14:textId="77777777" w:rsidR="00A33E12" w:rsidRPr="006142D9" w:rsidRDefault="00A33E12" w:rsidP="00FB09D8">
      <w:pPr>
        <w:spacing w:after="0"/>
        <w:rPr>
          <w:rFonts w:ascii="Arial" w:eastAsia="Arial" w:hAnsi="Arial" w:cs="Arial"/>
          <w:sz w:val="22"/>
          <w:szCs w:val="22"/>
        </w:rPr>
      </w:pPr>
      <w:r>
        <w:rPr>
          <w:rFonts w:ascii="Arial" w:eastAsia="Arial" w:hAnsi="Arial" w:cs="Arial"/>
          <w:sz w:val="22"/>
          <w:szCs w:val="22"/>
        </w:rPr>
        <w:t>Karen Reiter</w:t>
      </w:r>
    </w:p>
    <w:p w14:paraId="79C78B3A" w14:textId="77777777" w:rsidR="00A33E12" w:rsidRDefault="00A33E12" w:rsidP="00FB09D8">
      <w:pPr>
        <w:spacing w:after="0"/>
      </w:pPr>
      <w:r>
        <w:rPr>
          <w:rFonts w:ascii="Arial" w:eastAsia="Arial" w:hAnsi="Arial" w:cs="Arial"/>
          <w:sz w:val="22"/>
          <w:szCs w:val="22"/>
        </w:rPr>
        <w:t>Executive Director, California Ambulatory Surgery Association</w:t>
      </w:r>
    </w:p>
    <w:p w14:paraId="773538BD" w14:textId="77777777" w:rsidR="00A33E12" w:rsidRDefault="00A33E12" w:rsidP="00FB09D8">
      <w:pPr>
        <w:spacing w:after="0"/>
      </w:pPr>
      <w:r>
        <w:rPr>
          <w:rFonts w:ascii="Arial" w:eastAsia="Arial" w:hAnsi="Arial" w:cs="Arial"/>
          <w:sz w:val="22"/>
          <w:szCs w:val="22"/>
        </w:rPr>
        <w:t>kreiter@casurgery.org  |  (530) 790-7990</w:t>
      </w:r>
    </w:p>
    <w:p w14:paraId="4FCE907D" w14:textId="77777777" w:rsidR="00A33E12" w:rsidRDefault="00A33E12" w:rsidP="00FB09D8">
      <w:pPr>
        <w:spacing w:after="0"/>
      </w:pPr>
      <w:r>
        <w:rPr>
          <w:rFonts w:ascii="Arial" w:eastAsia="Arial" w:hAnsi="Arial" w:cs="Arial"/>
          <w:sz w:val="22"/>
          <w:szCs w:val="22"/>
        </w:rPr>
        <w:t>PO Box 292698, Sacramento, CA 95829</w:t>
      </w:r>
    </w:p>
    <w:p w14:paraId="4289DF8E" w14:textId="77777777" w:rsidR="00A33E12" w:rsidRDefault="00A33E12" w:rsidP="00A33E12"/>
    <w:p w14:paraId="3E5223C0" w14:textId="77777777" w:rsidR="00A33E12" w:rsidRDefault="00A33E12" w:rsidP="00A33E12"/>
    <w:p w14:paraId="70325C6E" w14:textId="77777777" w:rsidR="00A33E12" w:rsidRDefault="00A33E12" w:rsidP="00A33E12"/>
    <w:sectPr w:rsidR="00A33E12" w:rsidSect="00AB12CF">
      <w:headerReference w:type="even" r:id="rId9"/>
      <w:headerReference w:type="default" r:id="rId10"/>
      <w:footerReference w:type="even" r:id="rId11"/>
      <w:footerReference w:type="default" r:id="rId12"/>
      <w:headerReference w:type="first" r:id="rId13"/>
      <w:footerReference w:type="first" r:id="rId14"/>
      <w:pgSz w:w="12240" w:h="15840"/>
      <w:pgMar w:top="855" w:right="1800" w:bottom="1440" w:left="18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0363D" w14:textId="77777777" w:rsidR="00394B26" w:rsidRDefault="00394B26">
      <w:pPr>
        <w:spacing w:after="0"/>
      </w:pPr>
      <w:r>
        <w:separator/>
      </w:r>
    </w:p>
  </w:endnote>
  <w:endnote w:type="continuationSeparator" w:id="0">
    <w:p w14:paraId="5378F1B7" w14:textId="77777777" w:rsidR="00394B26" w:rsidRDefault="00394B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panose1 w:val="020B0604020202020204"/>
    <w:charset w:val="4D"/>
    <w:family w:val="auto"/>
    <w:notTrueType/>
    <w:pitch w:val="default"/>
    <w:sig w:usb0="00000003" w:usb1="00000000" w:usb2="00000000" w:usb3="00000000" w:csb0="00000001" w:csb1="00000000"/>
  </w:font>
  <w:font w:name="Baskerville">
    <w:panose1 w:val="02020502070401020303"/>
    <w:charset w:val="00"/>
    <w:family w:val="roman"/>
    <w:pitch w:val="variable"/>
    <w:sig w:usb0="80000067" w:usb1="02000000" w:usb2="00000000" w:usb3="00000000" w:csb0="0000019F" w:csb1="00000000"/>
  </w:font>
  <w:font w:name="Seaford">
    <w:altName w:val="Seaford"/>
    <w:panose1 w:val="00000500000000000000"/>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w:panose1 w:val="02000503020000020003"/>
    <w:charset w:val="4D"/>
    <w:family w:val="swiss"/>
    <w:pitch w:val="variable"/>
    <w:sig w:usb0="800000AF" w:usb1="5000204A" w:usb2="00000000" w:usb3="00000000" w:csb0="0000009B" w:csb1="00000000"/>
  </w:font>
  <w:font w:name="Webdings">
    <w:panose1 w:val="05030102010509060703"/>
    <w:charset w:val="4D"/>
    <w:family w:val="decorative"/>
    <w:pitch w:val="variable"/>
    <w:sig w:usb0="00000003" w:usb1="00000000" w:usb2="00000000" w:usb3="00000000" w:csb0="80000001" w:csb1="00000000"/>
  </w:font>
  <w:font w:name="Baskerville-Italic">
    <w:altName w:val="Baskerville Old Face"/>
    <w:panose1 w:val="02020502070401020303"/>
    <w:charset w:val="00"/>
    <w:family w:val="auto"/>
    <w:pitch w:val="variable"/>
    <w:sig w:usb0="8000006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DE00" w14:textId="77777777" w:rsidR="00284499" w:rsidRDefault="00284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51DAE" w14:textId="6AB18CEC" w:rsidR="00190346" w:rsidRPr="00D20457" w:rsidRDefault="00190346" w:rsidP="00190346">
    <w:pPr>
      <w:pStyle w:val="BasicParagraph"/>
      <w:jc w:val="center"/>
      <w:rPr>
        <w:rStyle w:val="address"/>
        <w:color w:val="auto"/>
        <w:sz w:val="16"/>
        <w:szCs w:val="16"/>
      </w:rPr>
    </w:pPr>
    <w:r w:rsidRPr="00D20457">
      <w:rPr>
        <w:rStyle w:val="address"/>
        <w:rFonts w:ascii="Avenir" w:hAnsi="Avenir"/>
        <w:color w:val="auto"/>
        <w:sz w:val="16"/>
        <w:szCs w:val="16"/>
      </w:rPr>
      <w:t xml:space="preserve">P.O. Box </w:t>
    </w:r>
    <w:r w:rsidR="00AC75D8">
      <w:rPr>
        <w:rStyle w:val="address"/>
        <w:rFonts w:ascii="Avenir" w:hAnsi="Avenir"/>
        <w:color w:val="auto"/>
        <w:sz w:val="16"/>
        <w:szCs w:val="16"/>
      </w:rPr>
      <w:t xml:space="preserve">292698 </w:t>
    </w:r>
    <w:r w:rsidRPr="00D20457">
      <w:rPr>
        <w:rFonts w:ascii="Webdings" w:hAnsi="Webdings" w:cs="Webdings"/>
        <w:color w:val="auto"/>
        <w:spacing w:val="6"/>
        <w:sz w:val="16"/>
        <w:szCs w:val="16"/>
      </w:rPr>
      <w:t></w:t>
    </w:r>
    <w:r w:rsidRPr="00D20457">
      <w:rPr>
        <w:rStyle w:val="address"/>
        <w:color w:val="auto"/>
        <w:sz w:val="16"/>
        <w:szCs w:val="16"/>
      </w:rPr>
      <w:t xml:space="preserve"> </w:t>
    </w:r>
    <w:r w:rsidR="00AC75D8">
      <w:rPr>
        <w:rStyle w:val="address"/>
        <w:rFonts w:ascii="Avenir" w:hAnsi="Avenir"/>
        <w:color w:val="auto"/>
        <w:sz w:val="16"/>
        <w:szCs w:val="16"/>
      </w:rPr>
      <w:t>Sacramento, CA 95829</w:t>
    </w:r>
    <w:r w:rsidRPr="00D20457">
      <w:rPr>
        <w:rStyle w:val="address"/>
        <w:rFonts w:ascii="Avenir" w:hAnsi="Avenir"/>
        <w:color w:val="auto"/>
        <w:sz w:val="16"/>
        <w:szCs w:val="16"/>
      </w:rPr>
      <w:t xml:space="preserve"> </w:t>
    </w:r>
    <w:r w:rsidRPr="00D20457">
      <w:rPr>
        <w:rFonts w:ascii="Webdings" w:hAnsi="Webdings" w:cs="Webdings"/>
        <w:color w:val="auto"/>
        <w:spacing w:val="6"/>
        <w:sz w:val="16"/>
        <w:szCs w:val="16"/>
      </w:rPr>
      <w:t></w:t>
    </w:r>
    <w:r w:rsidRPr="00D20457">
      <w:rPr>
        <w:rStyle w:val="address"/>
        <w:color w:val="auto"/>
        <w:sz w:val="16"/>
        <w:szCs w:val="16"/>
      </w:rPr>
      <w:t xml:space="preserve"> </w:t>
    </w:r>
    <w:r w:rsidRPr="00D20457">
      <w:rPr>
        <w:rStyle w:val="address"/>
        <w:rFonts w:ascii="Avenir" w:hAnsi="Avenir"/>
        <w:color w:val="auto"/>
        <w:sz w:val="16"/>
        <w:szCs w:val="16"/>
      </w:rPr>
      <w:t xml:space="preserve">Phone </w:t>
    </w:r>
    <w:r w:rsidR="00B86BE4">
      <w:rPr>
        <w:rStyle w:val="address"/>
        <w:rFonts w:ascii="Avenir" w:hAnsi="Avenir"/>
        <w:color w:val="auto"/>
        <w:sz w:val="16"/>
        <w:szCs w:val="16"/>
      </w:rPr>
      <w:t>530.790 7990</w:t>
    </w:r>
    <w:r w:rsidRPr="00D20457">
      <w:rPr>
        <w:rStyle w:val="address"/>
        <w:rFonts w:ascii="Avenir" w:hAnsi="Avenir"/>
        <w:color w:val="auto"/>
        <w:sz w:val="16"/>
        <w:szCs w:val="16"/>
      </w:rPr>
      <w:t xml:space="preserve"> </w:t>
    </w:r>
    <w:r w:rsidRPr="00D20457">
      <w:rPr>
        <w:rFonts w:ascii="Webdings" w:hAnsi="Webdings" w:cs="Webdings"/>
        <w:color w:val="auto"/>
        <w:spacing w:val="6"/>
        <w:sz w:val="16"/>
        <w:szCs w:val="16"/>
      </w:rPr>
      <w:t></w:t>
    </w:r>
    <w:r w:rsidRPr="00D20457">
      <w:rPr>
        <w:rStyle w:val="address"/>
        <w:rFonts w:ascii="Avenir" w:hAnsi="Avenir" w:cs="Baskerville-Italic"/>
        <w:color w:val="auto"/>
        <w:sz w:val="16"/>
        <w:szCs w:val="16"/>
      </w:rPr>
      <w:t xml:space="preserve"> www.casurgery.org</w:t>
    </w:r>
  </w:p>
  <w:p w14:paraId="5D707D8B" w14:textId="77777777" w:rsidR="00190346" w:rsidRPr="00190346" w:rsidRDefault="00190346">
    <w:pPr>
      <w:pStyle w:val="Foo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F23E" w14:textId="77777777" w:rsidR="00284499" w:rsidRPr="00D20457" w:rsidRDefault="00284499" w:rsidP="00284499">
    <w:pPr>
      <w:pStyle w:val="BasicParagraph"/>
      <w:jc w:val="center"/>
      <w:rPr>
        <w:rStyle w:val="address"/>
        <w:color w:val="auto"/>
        <w:sz w:val="16"/>
        <w:szCs w:val="16"/>
      </w:rPr>
    </w:pPr>
    <w:r w:rsidRPr="00D20457">
      <w:rPr>
        <w:rStyle w:val="address"/>
        <w:rFonts w:ascii="Avenir" w:hAnsi="Avenir"/>
        <w:color w:val="auto"/>
        <w:sz w:val="16"/>
        <w:szCs w:val="16"/>
      </w:rPr>
      <w:t xml:space="preserve">P.O. Box </w:t>
    </w:r>
    <w:r>
      <w:rPr>
        <w:rStyle w:val="address"/>
        <w:rFonts w:ascii="Avenir" w:hAnsi="Avenir"/>
        <w:color w:val="auto"/>
        <w:sz w:val="16"/>
        <w:szCs w:val="16"/>
      </w:rPr>
      <w:t xml:space="preserve">292698 </w:t>
    </w:r>
    <w:r w:rsidRPr="00D20457">
      <w:rPr>
        <w:rFonts w:ascii="Webdings" w:hAnsi="Webdings" w:cs="Webdings"/>
        <w:color w:val="auto"/>
        <w:spacing w:val="6"/>
        <w:sz w:val="16"/>
        <w:szCs w:val="16"/>
      </w:rPr>
      <w:t></w:t>
    </w:r>
    <w:r w:rsidRPr="00D20457">
      <w:rPr>
        <w:rStyle w:val="address"/>
        <w:color w:val="auto"/>
        <w:sz w:val="16"/>
        <w:szCs w:val="16"/>
      </w:rPr>
      <w:t xml:space="preserve"> </w:t>
    </w:r>
    <w:r>
      <w:rPr>
        <w:rStyle w:val="address"/>
        <w:rFonts w:ascii="Avenir" w:hAnsi="Avenir"/>
        <w:color w:val="auto"/>
        <w:sz w:val="16"/>
        <w:szCs w:val="16"/>
      </w:rPr>
      <w:t>Sacramento, CA 95829</w:t>
    </w:r>
    <w:r w:rsidRPr="00D20457">
      <w:rPr>
        <w:rStyle w:val="address"/>
        <w:rFonts w:ascii="Avenir" w:hAnsi="Avenir"/>
        <w:color w:val="auto"/>
        <w:sz w:val="16"/>
        <w:szCs w:val="16"/>
      </w:rPr>
      <w:t xml:space="preserve"> </w:t>
    </w:r>
    <w:r w:rsidRPr="00D20457">
      <w:rPr>
        <w:rFonts w:ascii="Webdings" w:hAnsi="Webdings" w:cs="Webdings"/>
        <w:color w:val="auto"/>
        <w:spacing w:val="6"/>
        <w:sz w:val="16"/>
        <w:szCs w:val="16"/>
      </w:rPr>
      <w:t></w:t>
    </w:r>
    <w:r w:rsidRPr="00D20457">
      <w:rPr>
        <w:rStyle w:val="address"/>
        <w:color w:val="auto"/>
        <w:sz w:val="16"/>
        <w:szCs w:val="16"/>
      </w:rPr>
      <w:t xml:space="preserve"> </w:t>
    </w:r>
    <w:r w:rsidRPr="00D20457">
      <w:rPr>
        <w:rStyle w:val="address"/>
        <w:rFonts w:ascii="Avenir" w:hAnsi="Avenir"/>
        <w:color w:val="auto"/>
        <w:sz w:val="16"/>
        <w:szCs w:val="16"/>
      </w:rPr>
      <w:t xml:space="preserve">Phone </w:t>
    </w:r>
    <w:r>
      <w:rPr>
        <w:rStyle w:val="address"/>
        <w:rFonts w:ascii="Avenir" w:hAnsi="Avenir"/>
        <w:color w:val="auto"/>
        <w:sz w:val="16"/>
        <w:szCs w:val="16"/>
      </w:rPr>
      <w:t>530.790 7990</w:t>
    </w:r>
    <w:r w:rsidRPr="00D20457">
      <w:rPr>
        <w:rStyle w:val="address"/>
        <w:rFonts w:ascii="Avenir" w:hAnsi="Avenir"/>
        <w:color w:val="auto"/>
        <w:sz w:val="16"/>
        <w:szCs w:val="16"/>
      </w:rPr>
      <w:t xml:space="preserve"> </w:t>
    </w:r>
    <w:r w:rsidRPr="00D20457">
      <w:rPr>
        <w:rFonts w:ascii="Webdings" w:hAnsi="Webdings" w:cs="Webdings"/>
        <w:color w:val="auto"/>
        <w:spacing w:val="6"/>
        <w:sz w:val="16"/>
        <w:szCs w:val="16"/>
      </w:rPr>
      <w:t></w:t>
    </w:r>
    <w:r w:rsidRPr="00D20457">
      <w:rPr>
        <w:rStyle w:val="address"/>
        <w:rFonts w:ascii="Avenir" w:hAnsi="Avenir" w:cs="Baskerville-Italic"/>
        <w:color w:val="auto"/>
        <w:sz w:val="16"/>
        <w:szCs w:val="16"/>
      </w:rPr>
      <w:t xml:space="preserve"> www.casurgery.org</w:t>
    </w:r>
  </w:p>
  <w:p w14:paraId="0696735C" w14:textId="77777777" w:rsidR="00284499" w:rsidRDefault="00284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72D2C" w14:textId="77777777" w:rsidR="00394B26" w:rsidRDefault="00394B26">
      <w:pPr>
        <w:spacing w:after="0"/>
      </w:pPr>
      <w:r>
        <w:separator/>
      </w:r>
    </w:p>
  </w:footnote>
  <w:footnote w:type="continuationSeparator" w:id="0">
    <w:p w14:paraId="4FA6C8F5" w14:textId="77777777" w:rsidR="00394B26" w:rsidRDefault="00394B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5DFC" w14:textId="77777777" w:rsidR="00284499" w:rsidRDefault="002844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D7C8" w14:textId="77777777" w:rsidR="00284499" w:rsidRDefault="002844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C883" w14:textId="15C8C39A" w:rsidR="00D10EDE" w:rsidRDefault="00AB12CF">
    <w:pPr>
      <w:pStyle w:val="Header"/>
    </w:pPr>
    <w:r>
      <w:rPr>
        <w:noProof/>
      </w:rPr>
      <w:drawing>
        <wp:anchor distT="0" distB="0" distL="114300" distR="114300" simplePos="0" relativeHeight="251659264" behindDoc="1" locked="1" layoutInCell="1" allowOverlap="0" wp14:anchorId="52049847" wp14:editId="0B526CF5">
          <wp:simplePos x="0" y="0"/>
          <wp:positionH relativeFrom="margin">
            <wp:align>center</wp:align>
          </wp:positionH>
          <wp:positionV relativeFrom="margin">
            <wp:align>top</wp:align>
          </wp:positionV>
          <wp:extent cx="1956435" cy="12249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A logo color_hi res-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6435" cy="12249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2224E"/>
    <w:multiLevelType w:val="hybridMultilevel"/>
    <w:tmpl w:val="636ED1F2"/>
    <w:lvl w:ilvl="0" w:tplc="CCCE8C30">
      <w:start w:val="1"/>
      <w:numFmt w:val="bullet"/>
      <w:lvlText w:val="•"/>
      <w:lvlJc w:val="left"/>
      <w:pPr>
        <w:ind w:left="720" w:hanging="360"/>
      </w:pPr>
    </w:lvl>
    <w:lvl w:ilvl="1" w:tplc="9EFEE08E">
      <w:numFmt w:val="decimal"/>
      <w:lvlText w:val=""/>
      <w:lvlJc w:val="left"/>
    </w:lvl>
    <w:lvl w:ilvl="2" w:tplc="4266C014">
      <w:numFmt w:val="decimal"/>
      <w:lvlText w:val=""/>
      <w:lvlJc w:val="left"/>
    </w:lvl>
    <w:lvl w:ilvl="3" w:tplc="5BEAA08E">
      <w:numFmt w:val="decimal"/>
      <w:lvlText w:val=""/>
      <w:lvlJc w:val="left"/>
    </w:lvl>
    <w:lvl w:ilvl="4" w:tplc="08FCF034">
      <w:numFmt w:val="decimal"/>
      <w:lvlText w:val=""/>
      <w:lvlJc w:val="left"/>
    </w:lvl>
    <w:lvl w:ilvl="5" w:tplc="84AAECD6">
      <w:numFmt w:val="decimal"/>
      <w:lvlText w:val=""/>
      <w:lvlJc w:val="left"/>
    </w:lvl>
    <w:lvl w:ilvl="6" w:tplc="4BAC865C">
      <w:numFmt w:val="decimal"/>
      <w:lvlText w:val=""/>
      <w:lvlJc w:val="left"/>
    </w:lvl>
    <w:lvl w:ilvl="7" w:tplc="0DCA4388">
      <w:numFmt w:val="decimal"/>
      <w:lvlText w:val=""/>
      <w:lvlJc w:val="left"/>
    </w:lvl>
    <w:lvl w:ilvl="8" w:tplc="0FE2B4DA">
      <w:numFmt w:val="decimal"/>
      <w:lvlText w:val=""/>
      <w:lvlJc w:val="left"/>
    </w:lvl>
  </w:abstractNum>
  <w:num w:numId="1" w16cid:durableId="13349880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SystemFonts/>
  <w:hideSpellingErrors/>
  <w:hideGrammaticalError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346"/>
    <w:rsid w:val="000622F2"/>
    <w:rsid w:val="000726EC"/>
    <w:rsid w:val="000E0263"/>
    <w:rsid w:val="000F388C"/>
    <w:rsid w:val="00115860"/>
    <w:rsid w:val="00163687"/>
    <w:rsid w:val="00190346"/>
    <w:rsid w:val="002841E1"/>
    <w:rsid w:val="00284499"/>
    <w:rsid w:val="002E38DF"/>
    <w:rsid w:val="003257A2"/>
    <w:rsid w:val="003639A7"/>
    <w:rsid w:val="00367F99"/>
    <w:rsid w:val="00394B26"/>
    <w:rsid w:val="003B72FE"/>
    <w:rsid w:val="00473445"/>
    <w:rsid w:val="004C265E"/>
    <w:rsid w:val="004F5846"/>
    <w:rsid w:val="00545F85"/>
    <w:rsid w:val="005A366B"/>
    <w:rsid w:val="005B62ED"/>
    <w:rsid w:val="00621FA5"/>
    <w:rsid w:val="006424FC"/>
    <w:rsid w:val="00662FC4"/>
    <w:rsid w:val="00760AB9"/>
    <w:rsid w:val="007D10CA"/>
    <w:rsid w:val="007F1415"/>
    <w:rsid w:val="008233E6"/>
    <w:rsid w:val="00853725"/>
    <w:rsid w:val="00915346"/>
    <w:rsid w:val="009E315E"/>
    <w:rsid w:val="00A33E12"/>
    <w:rsid w:val="00AB12CF"/>
    <w:rsid w:val="00AC75D8"/>
    <w:rsid w:val="00AD688E"/>
    <w:rsid w:val="00B108CF"/>
    <w:rsid w:val="00B6293D"/>
    <w:rsid w:val="00B86BE4"/>
    <w:rsid w:val="00C10DE0"/>
    <w:rsid w:val="00C22A19"/>
    <w:rsid w:val="00C455CB"/>
    <w:rsid w:val="00C80B5E"/>
    <w:rsid w:val="00CE4A5F"/>
    <w:rsid w:val="00D07829"/>
    <w:rsid w:val="00D10EDE"/>
    <w:rsid w:val="00D20457"/>
    <w:rsid w:val="00DF6723"/>
    <w:rsid w:val="00E41589"/>
    <w:rsid w:val="00EF0D0B"/>
    <w:rsid w:val="00F42D49"/>
    <w:rsid w:val="00F613DC"/>
    <w:rsid w:val="00FB09D8"/>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BE6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7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346"/>
    <w:pPr>
      <w:tabs>
        <w:tab w:val="center" w:pos="4320"/>
        <w:tab w:val="right" w:pos="8640"/>
      </w:tabs>
      <w:spacing w:after="0"/>
    </w:pPr>
  </w:style>
  <w:style w:type="character" w:customStyle="1" w:styleId="HeaderChar">
    <w:name w:val="Header Char"/>
    <w:basedOn w:val="DefaultParagraphFont"/>
    <w:link w:val="Header"/>
    <w:uiPriority w:val="99"/>
    <w:rsid w:val="00190346"/>
  </w:style>
  <w:style w:type="paragraph" w:styleId="Footer">
    <w:name w:val="footer"/>
    <w:basedOn w:val="Normal"/>
    <w:link w:val="FooterChar"/>
    <w:uiPriority w:val="99"/>
    <w:unhideWhenUsed/>
    <w:rsid w:val="00190346"/>
    <w:pPr>
      <w:tabs>
        <w:tab w:val="center" w:pos="4320"/>
        <w:tab w:val="right" w:pos="8640"/>
      </w:tabs>
      <w:spacing w:after="0"/>
    </w:pPr>
  </w:style>
  <w:style w:type="character" w:customStyle="1" w:styleId="FooterChar">
    <w:name w:val="Footer Char"/>
    <w:basedOn w:val="DefaultParagraphFont"/>
    <w:link w:val="Footer"/>
    <w:uiPriority w:val="99"/>
    <w:rsid w:val="00190346"/>
  </w:style>
  <w:style w:type="paragraph" w:customStyle="1" w:styleId="BasicParagraph">
    <w:name w:val="[Basic Paragraph]"/>
    <w:basedOn w:val="Normal"/>
    <w:uiPriority w:val="99"/>
    <w:rsid w:val="00190346"/>
    <w:pPr>
      <w:widowControl w:val="0"/>
      <w:autoSpaceDE w:val="0"/>
      <w:autoSpaceDN w:val="0"/>
      <w:adjustRightInd w:val="0"/>
      <w:spacing w:after="0" w:line="288" w:lineRule="auto"/>
      <w:textAlignment w:val="center"/>
    </w:pPr>
    <w:rPr>
      <w:rFonts w:ascii="Times-Roman" w:hAnsi="Times-Roman" w:cs="Times-Roman"/>
      <w:color w:val="000000"/>
    </w:rPr>
  </w:style>
  <w:style w:type="character" w:customStyle="1" w:styleId="address">
    <w:name w:val="address"/>
    <w:uiPriority w:val="99"/>
    <w:rsid w:val="00190346"/>
    <w:rPr>
      <w:rFonts w:ascii="Baskerville" w:hAnsi="Baskerville" w:cs="Baskerville"/>
      <w:spacing w:val="6"/>
      <w:sz w:val="20"/>
      <w:szCs w:val="20"/>
    </w:rPr>
  </w:style>
  <w:style w:type="paragraph" w:styleId="ListParagraph">
    <w:name w:val="List Paragraph"/>
    <w:qFormat/>
    <w:rsid w:val="00D10EDE"/>
    <w:pPr>
      <w:spacing w:after="0"/>
    </w:pPr>
    <w:rPr>
      <w:rFonts w:ascii="Times New Roman" w:eastAsia="Times New Roman" w:hAnsi="Times New Roman" w:cs="Times New Roman"/>
      <w:sz w:val="20"/>
      <w:szCs w:val="20"/>
    </w:rPr>
  </w:style>
  <w:style w:type="paragraph" w:customStyle="1" w:styleId="Default">
    <w:name w:val="Default"/>
    <w:rsid w:val="00FB09D8"/>
    <w:pPr>
      <w:autoSpaceDE w:val="0"/>
      <w:autoSpaceDN w:val="0"/>
      <w:adjustRightInd w:val="0"/>
      <w:spacing w:after="0"/>
    </w:pPr>
    <w:rPr>
      <w:rFonts w:ascii="Seaford" w:hAnsi="Seaford" w:cs="Seafor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B7044F9722E4AB4B741B5E8F36051" ma:contentTypeVersion="24" ma:contentTypeDescription="Create a new document." ma:contentTypeScope="" ma:versionID="a7595da0c7dde7ec577d153b472bde99">
  <xsd:schema xmlns:xsd="http://www.w3.org/2001/XMLSchema" xmlns:xs="http://www.w3.org/2001/XMLSchema" xmlns:p="http://schemas.microsoft.com/office/2006/metadata/properties" xmlns:ns1="http://schemas.microsoft.com/sharepoint/v3" xmlns:ns2="26517f30-a096-45ee-8dcd-226fd63636f6" xmlns:ns3="07ed17aa-2aff-4be6-bad4-fa6c8c18855b" targetNamespace="http://schemas.microsoft.com/office/2006/metadata/properties" ma:root="true" ma:fieldsID="a1dd8a2fdfa180895ed4efed92ff725f" ns1:_="" ns2:_="" ns3:_="">
    <xsd:import namespace="http://schemas.microsoft.com/sharepoint/v3"/>
    <xsd:import namespace="26517f30-a096-45ee-8dcd-226fd63636f6"/>
    <xsd:import namespace="07ed17aa-2aff-4be6-bad4-fa6c8c18855b"/>
    <xsd:element name="properties">
      <xsd:complexType>
        <xsd:sequence>
          <xsd:element name="documentManagement">
            <xsd:complexType>
              <xsd:all>
                <xsd:element ref="ns2:Numberoffiles" minOccurs="0"/>
                <xsd:element ref="ns2:RemediationComplete"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_x002d_time"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ma:readOnly="false">
      <xsd:simpleType>
        <xsd:restriction base="dms:Note"/>
      </xsd:simpleType>
    </xsd:element>
    <xsd:element name="_ip_UnifiedCompliancePolicyUIAction" ma:index="24"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517f30-a096-45ee-8dcd-226fd63636f6" elementFormDefault="qualified">
    <xsd:import namespace="http://schemas.microsoft.com/office/2006/documentManagement/types"/>
    <xsd:import namespace="http://schemas.microsoft.com/office/infopath/2007/PartnerControls"/>
    <xsd:element name="Numberoffiles" ma:index="3" nillable="true" ma:displayName="Number of files" ma:format="Dropdown" ma:internalName="Numberoffiles" ma:readOnly="false" ma:percentage="FALSE">
      <xsd:simpleType>
        <xsd:restriction base="dms:Number"/>
      </xsd:simpleType>
    </xsd:element>
    <xsd:element name="RemediationComplete" ma:index="4" nillable="true" ma:displayName="Remediation Complete" ma:default="No" ma:format="Dropdown" ma:internalName="RemediationComplete" ma:readOnly="false">
      <xsd:simpleType>
        <xsd:restriction base="dms:Choice">
          <xsd:enumeration value="Yes"/>
          <xsd:enumeration value="In Progress"/>
          <xsd:enumeration value="No"/>
          <xsd:enumeration value="Not Required"/>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78606711-187b-4f64-9f71-02fee4c98d41"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hidden="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_x002d_time" ma:index="22" nillable="true" ma:displayName="date-time" ma:format="DateTime" ma:hidden="true" ma:internalName="date_x002d_time" ma:readOnly="fals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d17aa-2aff-4be6-bad4-fa6c8c18855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a691f07-6d57-45c1-819c-511880fad160}" ma:internalName="TaxCatchAll" ma:readOnly="false" ma:showField="CatchAllData" ma:web="07ed17aa-2aff-4be6-bad4-fa6c8c1885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Complete xmlns="26517f30-a096-45ee-8dcd-226fd63636f6">No</RemediationComplete>
    <_ip_UnifiedCompliancePolicyUIAction xmlns="http://schemas.microsoft.com/sharepoint/v3" xsi:nil="true"/>
    <TaxCatchAll xmlns="07ed17aa-2aff-4be6-bad4-fa6c8c18855b" xsi:nil="true"/>
    <lcf76f155ced4ddcb4097134ff3c332f xmlns="26517f30-a096-45ee-8dcd-226fd63636f6">
      <Terms xmlns="http://schemas.microsoft.com/office/infopath/2007/PartnerControls"/>
    </lcf76f155ced4ddcb4097134ff3c332f>
    <_ip_UnifiedCompliancePolicyProperties xmlns="http://schemas.microsoft.com/sharepoint/v3" xsi:nil="true"/>
    <Numberoffiles xmlns="26517f30-a096-45ee-8dcd-226fd63636f6" xsi:nil="true"/>
    <date_x002d_time xmlns="26517f30-a096-45ee-8dcd-226fd63636f6" xsi:nil="true"/>
  </documentManagement>
</p:properties>
</file>

<file path=customXml/itemProps1.xml><?xml version="1.0" encoding="utf-8"?>
<ds:datastoreItem xmlns:ds="http://schemas.openxmlformats.org/officeDocument/2006/customXml" ds:itemID="{FEB6FF43-BA3F-46A0-9C6D-FAA263B7F1B2}"/>
</file>

<file path=customXml/itemProps2.xml><?xml version="1.0" encoding="utf-8"?>
<ds:datastoreItem xmlns:ds="http://schemas.openxmlformats.org/officeDocument/2006/customXml" ds:itemID="{5850D40F-ACBC-4C15-92F1-5CEAB7F42424}"/>
</file>

<file path=customXml/itemProps3.xml><?xml version="1.0" encoding="utf-8"?>
<ds:datastoreItem xmlns:ds="http://schemas.openxmlformats.org/officeDocument/2006/customXml" ds:itemID="{D5D25CF4-9C49-499E-82EF-63FCCF1FEE82}"/>
</file>

<file path=docProps/app.xml><?xml version="1.0" encoding="utf-8"?>
<Properties xmlns="http://schemas.openxmlformats.org/officeDocument/2006/extended-properties" xmlns:vt="http://schemas.openxmlformats.org/officeDocument/2006/docPropsVTypes">
  <Template>Normal.dotm</Template>
  <TotalTime>0</TotalTime>
  <Pages>4</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Shellee Randol</dc:creator>
  <cp:keywords/>
  <cp:lastModifiedBy>Karen Reiter</cp:lastModifiedBy>
  <cp:revision>2</cp:revision>
  <cp:lastPrinted>2026-05-30T04:03:00Z</cp:lastPrinted>
  <dcterms:created xsi:type="dcterms:W3CDTF">2026-05-30T04:16:00Z</dcterms:created>
  <dcterms:modified xsi:type="dcterms:W3CDTF">2026-05-30T04:16:00Z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0x010100D2AB7044F9722E4AB4B741B5E8F36051</vt:lpwstr>
  </property>
</Properties>
</file>