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CA183" w14:textId="77777777" w:rsidR="0023018F" w:rsidRDefault="0023018F" w:rsidP="0023018F">
      <w:pPr>
        <w:spacing w:after="0" w:line="240" w:lineRule="auto"/>
        <w:rPr>
          <w:rFonts w:ascii="Arial" w:hAnsi="Arial" w:cs="Arial"/>
          <w:sz w:val="22"/>
          <w:szCs w:val="22"/>
        </w:rPr>
      </w:pPr>
    </w:p>
    <w:p w14:paraId="307E943F" w14:textId="77777777" w:rsidR="0023018F" w:rsidRDefault="0023018F" w:rsidP="0023018F">
      <w:pPr>
        <w:spacing w:after="0" w:line="240" w:lineRule="auto"/>
        <w:rPr>
          <w:rFonts w:ascii="Arial" w:hAnsi="Arial" w:cs="Arial"/>
          <w:sz w:val="22"/>
          <w:szCs w:val="22"/>
        </w:rPr>
      </w:pPr>
    </w:p>
    <w:p w14:paraId="258EE475" w14:textId="77777777" w:rsidR="002C2AF4" w:rsidRDefault="002C2AF4" w:rsidP="0023018F">
      <w:pPr>
        <w:spacing w:after="0" w:line="240" w:lineRule="auto"/>
        <w:rPr>
          <w:rFonts w:ascii="Arial" w:hAnsi="Arial" w:cs="Arial"/>
          <w:sz w:val="22"/>
          <w:szCs w:val="22"/>
        </w:rPr>
      </w:pPr>
    </w:p>
    <w:p w14:paraId="7DDD6263" w14:textId="310846BF" w:rsidR="0023018F" w:rsidRDefault="0023018F" w:rsidP="0023018F">
      <w:pPr>
        <w:spacing w:after="0" w:line="240" w:lineRule="auto"/>
        <w:rPr>
          <w:rFonts w:ascii="Arial" w:hAnsi="Arial" w:cs="Arial"/>
          <w:sz w:val="22"/>
          <w:szCs w:val="22"/>
        </w:rPr>
      </w:pPr>
      <w:r w:rsidRPr="00932DE1">
        <w:rPr>
          <w:rFonts w:ascii="Arial" w:hAnsi="Arial" w:cs="Arial"/>
          <w:sz w:val="22"/>
          <w:szCs w:val="22"/>
        </w:rPr>
        <w:t xml:space="preserve">May </w:t>
      </w:r>
      <w:r>
        <w:rPr>
          <w:rFonts w:ascii="Arial" w:hAnsi="Arial" w:cs="Arial"/>
          <w:sz w:val="22"/>
          <w:szCs w:val="22"/>
        </w:rPr>
        <w:t>29</w:t>
      </w:r>
      <w:r w:rsidRPr="00932DE1">
        <w:rPr>
          <w:rFonts w:ascii="Arial" w:hAnsi="Arial" w:cs="Arial"/>
          <w:sz w:val="22"/>
          <w:szCs w:val="22"/>
        </w:rPr>
        <w:t>, 2026</w:t>
      </w:r>
    </w:p>
    <w:p w14:paraId="31147B55" w14:textId="77777777" w:rsidR="0023018F" w:rsidRDefault="0023018F" w:rsidP="0023018F">
      <w:pPr>
        <w:spacing w:after="0" w:line="240" w:lineRule="auto"/>
        <w:rPr>
          <w:rFonts w:ascii="Arial" w:hAnsi="Arial" w:cs="Arial"/>
          <w:sz w:val="22"/>
          <w:szCs w:val="22"/>
        </w:rPr>
      </w:pPr>
    </w:p>
    <w:p w14:paraId="79CC4005" w14:textId="77777777" w:rsidR="0023018F" w:rsidRPr="00FA0F03" w:rsidRDefault="0023018F" w:rsidP="0023018F">
      <w:pPr>
        <w:spacing w:after="0" w:line="240" w:lineRule="auto"/>
        <w:rPr>
          <w:rFonts w:ascii="Arial" w:hAnsi="Arial" w:cs="Arial"/>
          <w:sz w:val="22"/>
          <w:szCs w:val="22"/>
        </w:rPr>
      </w:pPr>
      <w:r w:rsidRPr="00FA0F03">
        <w:rPr>
          <w:rFonts w:ascii="Arial" w:hAnsi="Arial" w:cs="Arial"/>
          <w:sz w:val="22"/>
          <w:szCs w:val="22"/>
        </w:rPr>
        <w:t>California Department of Industrial Relations</w:t>
      </w:r>
    </w:p>
    <w:p w14:paraId="2BC0FF59" w14:textId="77777777" w:rsidR="0023018F" w:rsidRPr="00FA0F03" w:rsidRDefault="0023018F" w:rsidP="0023018F">
      <w:pPr>
        <w:spacing w:after="0" w:line="240" w:lineRule="auto"/>
        <w:rPr>
          <w:rFonts w:ascii="Arial" w:hAnsi="Arial" w:cs="Arial"/>
          <w:sz w:val="22"/>
          <w:szCs w:val="22"/>
        </w:rPr>
      </w:pPr>
      <w:r w:rsidRPr="00FA0F03">
        <w:rPr>
          <w:rFonts w:ascii="Arial" w:hAnsi="Arial" w:cs="Arial"/>
          <w:sz w:val="22"/>
          <w:szCs w:val="22"/>
        </w:rPr>
        <w:t>Division of Occupational Safety and Health</w:t>
      </w:r>
    </w:p>
    <w:p w14:paraId="2610B2CE" w14:textId="77777777" w:rsidR="0023018F" w:rsidRPr="00FA0F03" w:rsidRDefault="0023018F" w:rsidP="0023018F">
      <w:pPr>
        <w:spacing w:after="0" w:line="240" w:lineRule="auto"/>
        <w:rPr>
          <w:rFonts w:ascii="Arial" w:hAnsi="Arial" w:cs="Arial"/>
          <w:sz w:val="22"/>
          <w:szCs w:val="22"/>
        </w:rPr>
      </w:pPr>
      <w:r w:rsidRPr="00FA0F03">
        <w:rPr>
          <w:rFonts w:ascii="Arial" w:hAnsi="Arial" w:cs="Arial"/>
          <w:sz w:val="22"/>
          <w:szCs w:val="22"/>
        </w:rPr>
        <w:t>1515 Clay St., Suite 1901</w:t>
      </w:r>
    </w:p>
    <w:p w14:paraId="69A84886" w14:textId="77777777" w:rsidR="0023018F" w:rsidRDefault="0023018F" w:rsidP="0023018F">
      <w:pPr>
        <w:spacing w:after="0" w:line="240" w:lineRule="auto"/>
        <w:rPr>
          <w:rFonts w:ascii="Arial" w:hAnsi="Arial" w:cs="Arial"/>
          <w:sz w:val="22"/>
          <w:szCs w:val="22"/>
        </w:rPr>
      </w:pPr>
      <w:r w:rsidRPr="00FA0F03">
        <w:rPr>
          <w:rFonts w:ascii="Arial" w:hAnsi="Arial" w:cs="Arial"/>
          <w:sz w:val="22"/>
          <w:szCs w:val="22"/>
        </w:rPr>
        <w:t>Oakland, California 94612</w:t>
      </w:r>
    </w:p>
    <w:p w14:paraId="27F8D572" w14:textId="77777777" w:rsidR="003131CD" w:rsidRDefault="003131CD" w:rsidP="0023018F">
      <w:pPr>
        <w:spacing w:after="0" w:line="240" w:lineRule="auto"/>
        <w:rPr>
          <w:rFonts w:ascii="Arial" w:hAnsi="Arial" w:cs="Arial"/>
          <w:sz w:val="22"/>
          <w:szCs w:val="22"/>
        </w:rPr>
      </w:pPr>
    </w:p>
    <w:p w14:paraId="68E2A15A" w14:textId="5954EEA8" w:rsidR="003131CD" w:rsidRPr="003131CD" w:rsidRDefault="003131CD" w:rsidP="0023018F">
      <w:pPr>
        <w:spacing w:after="0" w:line="240" w:lineRule="auto"/>
        <w:rPr>
          <w:rFonts w:ascii="Arial" w:hAnsi="Arial" w:cs="Arial"/>
          <w:sz w:val="22"/>
          <w:szCs w:val="22"/>
          <w:lang w:val="it-IT"/>
        </w:rPr>
      </w:pPr>
      <w:r w:rsidRPr="003131CD">
        <w:rPr>
          <w:rFonts w:cs="Times New Roman"/>
          <w:b/>
          <w:bCs/>
          <w:lang w:val="it-IT"/>
        </w:rPr>
        <w:t>Via Email: rs@dir.ca.gov</w:t>
      </w:r>
    </w:p>
    <w:p w14:paraId="77F325A7" w14:textId="77777777" w:rsidR="0023018F" w:rsidRPr="003131CD" w:rsidRDefault="0023018F" w:rsidP="0023018F">
      <w:pPr>
        <w:shd w:val="clear" w:color="auto" w:fill="FFFFFF"/>
        <w:spacing w:after="0" w:line="240" w:lineRule="auto"/>
        <w:rPr>
          <w:rFonts w:ascii="Arial" w:eastAsia="Times New Roman" w:hAnsi="Arial" w:cs="Arial"/>
          <w:color w:val="222222"/>
          <w:kern w:val="0"/>
          <w:sz w:val="22"/>
          <w:szCs w:val="22"/>
          <w:lang w:val="it-IT"/>
          <w14:ligatures w14:val="none"/>
        </w:rPr>
      </w:pPr>
    </w:p>
    <w:p w14:paraId="45F863DD" w14:textId="77777777" w:rsidR="0023018F" w:rsidRPr="00F13B91" w:rsidRDefault="0023018F" w:rsidP="0023018F">
      <w:pPr>
        <w:rPr>
          <w:rFonts w:ascii="Arial" w:hAnsi="Arial" w:cs="Arial"/>
          <w:b/>
          <w:bCs/>
          <w:sz w:val="22"/>
          <w:szCs w:val="22"/>
        </w:rPr>
      </w:pPr>
      <w:r w:rsidRPr="00F13B91">
        <w:rPr>
          <w:rFonts w:ascii="Arial" w:hAnsi="Arial" w:cs="Arial"/>
          <w:b/>
          <w:bCs/>
          <w:sz w:val="22"/>
          <w:szCs w:val="22"/>
        </w:rPr>
        <w:t xml:space="preserve">Subject: Response to draft of regulatory language regarding </w:t>
      </w:r>
      <w:r>
        <w:rPr>
          <w:rFonts w:ascii="Arial" w:hAnsi="Arial" w:cs="Arial"/>
          <w:b/>
          <w:bCs/>
          <w:sz w:val="22"/>
          <w:szCs w:val="22"/>
        </w:rPr>
        <w:t xml:space="preserve">Revision </w:t>
      </w:r>
      <w:r w:rsidRPr="00F13B91">
        <w:rPr>
          <w:rFonts w:ascii="Arial" w:hAnsi="Arial" w:cs="Arial"/>
          <w:b/>
          <w:bCs/>
          <w:sz w:val="22"/>
          <w:szCs w:val="22"/>
        </w:rPr>
        <w:t>Discussion Draft: §51XX. Occupational Exposure to Plume in Health Care</w:t>
      </w:r>
    </w:p>
    <w:p w14:paraId="651BFA36" w14:textId="77777777" w:rsidR="0023018F" w:rsidRPr="00F13B91" w:rsidRDefault="0023018F" w:rsidP="0023018F">
      <w:pPr>
        <w:rPr>
          <w:rFonts w:ascii="Arial" w:hAnsi="Arial" w:cs="Arial"/>
          <w:sz w:val="16"/>
          <w:szCs w:val="16"/>
        </w:rPr>
      </w:pPr>
    </w:p>
    <w:p w14:paraId="7D5ADD27" w14:textId="77777777" w:rsidR="0023018F" w:rsidRPr="00CE0F2C" w:rsidRDefault="0023018F" w:rsidP="0023018F">
      <w:pPr>
        <w:rPr>
          <w:rFonts w:ascii="Arial" w:hAnsi="Arial" w:cs="Arial"/>
          <w:b/>
          <w:bCs/>
          <w:sz w:val="22"/>
          <w:szCs w:val="22"/>
        </w:rPr>
      </w:pPr>
      <w:r w:rsidRPr="00CE0F2C">
        <w:rPr>
          <w:rFonts w:ascii="Arial" w:hAnsi="Arial" w:cs="Arial"/>
          <w:b/>
          <w:bCs/>
          <w:sz w:val="22"/>
          <w:szCs w:val="22"/>
        </w:rPr>
        <w:t>To the Division of Occupational Safety and Health</w:t>
      </w:r>
    </w:p>
    <w:p w14:paraId="21E324D2" w14:textId="77777777" w:rsidR="0023018F" w:rsidRPr="0023018F" w:rsidRDefault="0023018F" w:rsidP="0023018F">
      <w:pPr>
        <w:rPr>
          <w:rFonts w:ascii="Arial" w:hAnsi="Arial" w:cs="Arial"/>
          <w:sz w:val="22"/>
          <w:szCs w:val="22"/>
        </w:rPr>
      </w:pPr>
    </w:p>
    <w:p w14:paraId="22084550" w14:textId="03A62B4F" w:rsidR="0023018F" w:rsidRPr="0023018F" w:rsidRDefault="0023018F" w:rsidP="0023018F">
      <w:pPr>
        <w:jc w:val="both"/>
        <w:rPr>
          <w:rFonts w:ascii="Arial" w:hAnsi="Arial" w:cs="Arial"/>
          <w:sz w:val="22"/>
          <w:szCs w:val="22"/>
        </w:rPr>
      </w:pPr>
      <w:r w:rsidRPr="0023018F">
        <w:rPr>
          <w:rFonts w:ascii="Arial" w:hAnsi="Arial" w:cs="Arial"/>
          <w:sz w:val="22"/>
          <w:szCs w:val="22"/>
        </w:rPr>
        <w:t xml:space="preserve">On behalf of the California Alliance for Perioperative Practice (CAPP), which speaks for perioperative nurses and healthcare professionals working in approximately 350 hospitals and 890 ambulatory surgery centers (ASCs) across California, we are once again submitting comments on the Cal/OSHA revised draft standard for the proposed regulation of AB 1007, scheduled for implementation in June 2027. CAPP’s ongoing mission is to </w:t>
      </w:r>
      <w:proofErr w:type="gramStart"/>
      <w:r w:rsidRPr="0023018F">
        <w:rPr>
          <w:rFonts w:ascii="Arial" w:hAnsi="Arial" w:cs="Arial"/>
          <w:sz w:val="22"/>
          <w:szCs w:val="22"/>
        </w:rPr>
        <w:t xml:space="preserve">advocate </w:t>
      </w:r>
      <w:r>
        <w:rPr>
          <w:rFonts w:ascii="Arial" w:hAnsi="Arial" w:cs="Arial"/>
          <w:sz w:val="22"/>
          <w:szCs w:val="22"/>
        </w:rPr>
        <w:t>for</w:t>
      </w:r>
      <w:proofErr w:type="gramEnd"/>
      <w:r>
        <w:rPr>
          <w:rFonts w:ascii="Arial" w:hAnsi="Arial" w:cs="Arial"/>
          <w:sz w:val="22"/>
          <w:szCs w:val="22"/>
        </w:rPr>
        <w:t xml:space="preserve"> </w:t>
      </w:r>
      <w:r w:rsidRPr="0023018F">
        <w:rPr>
          <w:rFonts w:ascii="Arial" w:hAnsi="Arial" w:cs="Arial"/>
          <w:sz w:val="22"/>
          <w:szCs w:val="22"/>
        </w:rPr>
        <w:t xml:space="preserve">excellence in perioperative practices and healthcare safety by empowering perioperative professionals through collaboration, education, and the development of practice resources for nurses in California. As members of the Association of Perioperative Registered Nurses (AORN) and collaborators with industry, academia, and the perioperative nursing community, we aim to continue providing facilities with evidence-based practices, effective vendor relationships, and our clinical acumen. The AORN Guideline for Surgical Smoke Safety, along with educational materials and policy templates, forms the foundation of our commitment to eliminate the occupational hazards posed by surgical smoke and plume.  </w:t>
      </w:r>
    </w:p>
    <w:p w14:paraId="3257CA4E" w14:textId="77777777" w:rsidR="0023018F" w:rsidRPr="0023018F" w:rsidRDefault="0023018F" w:rsidP="0023018F">
      <w:pPr>
        <w:rPr>
          <w:rFonts w:ascii="Arial" w:hAnsi="Arial" w:cs="Arial"/>
          <w:sz w:val="22"/>
          <w:szCs w:val="22"/>
        </w:rPr>
      </w:pPr>
      <w:r w:rsidRPr="0023018F">
        <w:rPr>
          <w:rFonts w:ascii="Arial" w:hAnsi="Arial" w:cs="Arial"/>
          <w:sz w:val="22"/>
          <w:szCs w:val="22"/>
        </w:rPr>
        <w:t>Concerning the “Revised Draft Standard of April 26, 2026”, there are several additional key recommendations that we are offering for your consideration:</w:t>
      </w:r>
    </w:p>
    <w:p w14:paraId="6CF8EDAC" w14:textId="77777777" w:rsidR="0023018F" w:rsidRPr="0023018F" w:rsidRDefault="0023018F" w:rsidP="0023018F">
      <w:pPr>
        <w:rPr>
          <w:rFonts w:ascii="Arial" w:hAnsi="Arial" w:cs="Arial"/>
          <w:b/>
          <w:bCs/>
          <w:sz w:val="22"/>
          <w:szCs w:val="22"/>
        </w:rPr>
      </w:pPr>
      <w:r w:rsidRPr="0023018F">
        <w:rPr>
          <w:rFonts w:ascii="Arial" w:hAnsi="Arial" w:cs="Arial"/>
          <w:b/>
          <w:bCs/>
          <w:sz w:val="22"/>
          <w:szCs w:val="22"/>
        </w:rPr>
        <w:t>(b) Definitions</w:t>
      </w:r>
    </w:p>
    <w:p w14:paraId="349E9ED6" w14:textId="728F496A" w:rsidR="0023018F" w:rsidRPr="0023018F" w:rsidRDefault="0023018F" w:rsidP="0023018F">
      <w:pPr>
        <w:ind w:left="720"/>
        <w:jc w:val="both"/>
        <w:rPr>
          <w:rFonts w:ascii="Arial" w:hAnsi="Arial" w:cs="Arial"/>
          <w:sz w:val="22"/>
          <w:szCs w:val="22"/>
        </w:rPr>
      </w:pPr>
      <w:r w:rsidRPr="0023018F">
        <w:rPr>
          <w:rFonts w:ascii="Arial" w:hAnsi="Arial" w:cs="Arial"/>
          <w:sz w:val="22"/>
          <w:szCs w:val="22"/>
        </w:rPr>
        <w:t xml:space="preserve">(4) </w:t>
      </w:r>
      <w:r w:rsidRPr="00AF1390">
        <w:rPr>
          <w:rFonts w:ascii="Arial" w:hAnsi="Arial" w:cs="Arial"/>
          <w:b/>
          <w:bCs/>
          <w:sz w:val="22"/>
          <w:szCs w:val="22"/>
        </w:rPr>
        <w:t xml:space="preserve">“Capture device” </w:t>
      </w:r>
      <w:r w:rsidRPr="0023018F">
        <w:rPr>
          <w:rFonts w:ascii="Arial" w:hAnsi="Arial" w:cs="Arial"/>
          <w:sz w:val="22"/>
          <w:szCs w:val="22"/>
        </w:rPr>
        <w:t xml:space="preserve">- Replace “passes” with “evacuates” and delete the last sentence (“A capture device…”) to make the definition accurate. </w:t>
      </w:r>
    </w:p>
    <w:p w14:paraId="6D5028A0" w14:textId="77777777" w:rsidR="0023018F" w:rsidRPr="0023018F" w:rsidRDefault="0023018F" w:rsidP="0023018F">
      <w:pPr>
        <w:ind w:left="720"/>
        <w:jc w:val="both"/>
        <w:rPr>
          <w:rFonts w:ascii="Arial" w:hAnsi="Arial" w:cs="Arial"/>
          <w:sz w:val="22"/>
          <w:szCs w:val="22"/>
        </w:rPr>
      </w:pPr>
    </w:p>
    <w:p w14:paraId="76A00446" w14:textId="77777777" w:rsidR="0023018F" w:rsidRPr="0023018F" w:rsidRDefault="0023018F" w:rsidP="0023018F">
      <w:pPr>
        <w:jc w:val="both"/>
        <w:rPr>
          <w:rFonts w:ascii="Arial" w:hAnsi="Arial" w:cs="Arial"/>
          <w:sz w:val="22"/>
          <w:szCs w:val="22"/>
        </w:rPr>
      </w:pPr>
      <w:r w:rsidRPr="0023018F">
        <w:rPr>
          <w:rFonts w:ascii="Arial" w:hAnsi="Arial" w:cs="Arial"/>
          <w:sz w:val="22"/>
          <w:szCs w:val="22"/>
        </w:rPr>
        <w:t xml:space="preserve">Indicate types of “plume-generating device” within definitions for (6) electrocautery devices, (7) electrosurgical devices, (8) energy-based devices, mechanical tools, and high-speed powered instruments. Provide definitions for all </w:t>
      </w:r>
      <w:r w:rsidRPr="0023018F">
        <w:rPr>
          <w:rFonts w:ascii="Arial" w:hAnsi="Arial" w:cs="Arial"/>
          <w:i/>
          <w:iCs/>
          <w:sz w:val="22"/>
          <w:szCs w:val="22"/>
        </w:rPr>
        <w:t>plume-generating device</w:t>
      </w:r>
      <w:r w:rsidRPr="0023018F">
        <w:rPr>
          <w:rFonts w:ascii="Arial" w:hAnsi="Arial" w:cs="Arial"/>
          <w:sz w:val="22"/>
          <w:szCs w:val="22"/>
        </w:rPr>
        <w:t xml:space="preserve"> categories and include examples for each. Such as:                                                                                                                 </w:t>
      </w:r>
    </w:p>
    <w:p w14:paraId="09D69D76" w14:textId="77777777" w:rsidR="002C2AF4" w:rsidRDefault="002C2AF4" w:rsidP="0023018F">
      <w:pPr>
        <w:ind w:left="720"/>
        <w:jc w:val="both"/>
        <w:rPr>
          <w:rFonts w:ascii="Arial" w:hAnsi="Arial" w:cs="Arial"/>
          <w:sz w:val="22"/>
          <w:szCs w:val="22"/>
        </w:rPr>
      </w:pPr>
    </w:p>
    <w:p w14:paraId="430CC222" w14:textId="28C22C9C" w:rsidR="0023018F" w:rsidRPr="0023018F" w:rsidRDefault="0023018F" w:rsidP="0023018F">
      <w:pPr>
        <w:ind w:left="720"/>
        <w:jc w:val="both"/>
        <w:rPr>
          <w:rFonts w:ascii="Arial" w:hAnsi="Arial" w:cs="Arial"/>
          <w:sz w:val="22"/>
          <w:szCs w:val="22"/>
        </w:rPr>
      </w:pPr>
      <w:r w:rsidRPr="0023018F">
        <w:rPr>
          <w:rFonts w:ascii="Arial" w:hAnsi="Arial" w:cs="Arial"/>
          <w:sz w:val="22"/>
          <w:szCs w:val="22"/>
        </w:rPr>
        <w:t xml:space="preserve">(#) </w:t>
      </w:r>
      <w:r w:rsidRPr="00AF1390">
        <w:rPr>
          <w:rFonts w:ascii="Arial" w:hAnsi="Arial" w:cs="Arial"/>
          <w:b/>
          <w:bCs/>
          <w:sz w:val="22"/>
          <w:szCs w:val="22"/>
        </w:rPr>
        <w:t>“Mechanical tools”</w:t>
      </w:r>
      <w:r w:rsidRPr="0023018F">
        <w:rPr>
          <w:rFonts w:ascii="Arial" w:hAnsi="Arial" w:cs="Arial"/>
          <w:sz w:val="22"/>
          <w:szCs w:val="22"/>
        </w:rPr>
        <w:t xml:space="preserve"> – manual, non-powered tools that can contribute to smoke/aerosol      formation via frictions or heat (such as manual cutters, dissection tools).</w:t>
      </w:r>
    </w:p>
    <w:p w14:paraId="5B807315" w14:textId="77777777" w:rsidR="0023018F" w:rsidRPr="0023018F" w:rsidRDefault="0023018F" w:rsidP="0023018F">
      <w:pPr>
        <w:ind w:left="720"/>
        <w:jc w:val="both"/>
        <w:rPr>
          <w:rFonts w:ascii="Arial" w:hAnsi="Arial" w:cs="Arial"/>
          <w:sz w:val="22"/>
          <w:szCs w:val="22"/>
        </w:rPr>
      </w:pPr>
      <w:r w:rsidRPr="0023018F">
        <w:rPr>
          <w:rFonts w:ascii="Arial" w:hAnsi="Arial" w:cs="Arial"/>
          <w:sz w:val="22"/>
          <w:szCs w:val="22"/>
        </w:rPr>
        <w:t xml:space="preserve">(#) </w:t>
      </w:r>
      <w:r w:rsidRPr="00AF1390">
        <w:rPr>
          <w:rFonts w:ascii="Arial" w:hAnsi="Arial" w:cs="Arial"/>
          <w:b/>
          <w:bCs/>
          <w:sz w:val="22"/>
          <w:szCs w:val="22"/>
        </w:rPr>
        <w:t>“High-speed powered instruments”</w:t>
      </w:r>
      <w:r w:rsidRPr="0023018F">
        <w:rPr>
          <w:rFonts w:ascii="Arial" w:hAnsi="Arial" w:cs="Arial"/>
          <w:sz w:val="22"/>
          <w:szCs w:val="22"/>
        </w:rPr>
        <w:t xml:space="preserve"> – powered instruments such as bone saws, drill         drive burrs, high-speed rotary instruments.  </w:t>
      </w:r>
    </w:p>
    <w:p w14:paraId="69CBD993" w14:textId="77777777" w:rsidR="0023018F" w:rsidRPr="0023018F" w:rsidRDefault="0023018F" w:rsidP="0023018F">
      <w:pPr>
        <w:ind w:left="720"/>
        <w:jc w:val="both"/>
        <w:rPr>
          <w:rFonts w:ascii="Arial" w:hAnsi="Arial" w:cs="Arial"/>
          <w:sz w:val="22"/>
          <w:szCs w:val="22"/>
        </w:rPr>
      </w:pPr>
      <w:r w:rsidRPr="0023018F">
        <w:rPr>
          <w:rFonts w:ascii="Arial" w:hAnsi="Arial" w:cs="Arial"/>
          <w:sz w:val="22"/>
          <w:szCs w:val="22"/>
        </w:rPr>
        <w:t xml:space="preserve">(6): </w:t>
      </w:r>
      <w:r w:rsidRPr="00AF1390">
        <w:rPr>
          <w:rFonts w:ascii="Arial" w:hAnsi="Arial" w:cs="Arial"/>
          <w:b/>
          <w:bCs/>
          <w:sz w:val="22"/>
          <w:szCs w:val="22"/>
        </w:rPr>
        <w:t>“Electrocautery device”</w:t>
      </w:r>
      <w:r w:rsidRPr="0023018F">
        <w:rPr>
          <w:rFonts w:ascii="Arial" w:hAnsi="Arial" w:cs="Arial"/>
          <w:sz w:val="22"/>
          <w:szCs w:val="22"/>
        </w:rPr>
        <w:t xml:space="preserve"> - Clarification to include examples of devices (such as hyfrecator, hotwires, and electrocautery pens) to reduce confusion with “electrosurgical devices."</w:t>
      </w:r>
    </w:p>
    <w:p w14:paraId="4C66BA49" w14:textId="77777777" w:rsidR="0023018F" w:rsidRPr="0023018F" w:rsidRDefault="0023018F" w:rsidP="0023018F">
      <w:pPr>
        <w:spacing w:before="240"/>
        <w:ind w:left="720"/>
        <w:jc w:val="both"/>
        <w:rPr>
          <w:rFonts w:ascii="Arial" w:hAnsi="Arial" w:cs="Arial"/>
          <w:sz w:val="22"/>
          <w:szCs w:val="22"/>
        </w:rPr>
      </w:pPr>
      <w:r w:rsidRPr="0023018F">
        <w:rPr>
          <w:rFonts w:ascii="Arial" w:hAnsi="Arial" w:cs="Arial"/>
          <w:sz w:val="22"/>
          <w:szCs w:val="22"/>
        </w:rPr>
        <w:t xml:space="preserve">(7) </w:t>
      </w:r>
      <w:r w:rsidRPr="00AF1390">
        <w:rPr>
          <w:rFonts w:ascii="Arial" w:hAnsi="Arial" w:cs="Arial"/>
          <w:b/>
          <w:bCs/>
          <w:sz w:val="22"/>
          <w:szCs w:val="22"/>
        </w:rPr>
        <w:t>“Electrosurgical device”</w:t>
      </w:r>
      <w:r w:rsidRPr="0023018F">
        <w:rPr>
          <w:rFonts w:ascii="Arial" w:hAnsi="Arial" w:cs="Arial"/>
          <w:sz w:val="22"/>
          <w:szCs w:val="22"/>
        </w:rPr>
        <w:t xml:space="preserve"> – Include examples of devices (such as monopolar and bipolar units) to distinguish from “electrocautery devices.”  </w:t>
      </w:r>
    </w:p>
    <w:p w14:paraId="1C057337" w14:textId="77777777" w:rsidR="0023018F" w:rsidRPr="0023018F" w:rsidRDefault="0023018F" w:rsidP="0023018F">
      <w:pPr>
        <w:spacing w:after="120" w:line="240" w:lineRule="auto"/>
        <w:ind w:left="1080" w:hanging="360"/>
        <w:jc w:val="both"/>
        <w:rPr>
          <w:rFonts w:ascii="Arial" w:eastAsia="Aptos" w:hAnsi="Arial" w:cs="Arial"/>
          <w:sz w:val="22"/>
          <w:szCs w:val="22"/>
        </w:rPr>
      </w:pPr>
      <w:r w:rsidRPr="0023018F">
        <w:rPr>
          <w:rFonts w:ascii="Arial" w:hAnsi="Arial" w:cs="Arial"/>
          <w:sz w:val="22"/>
          <w:szCs w:val="22"/>
        </w:rPr>
        <w:t xml:space="preserve">(8) </w:t>
      </w:r>
      <w:r w:rsidRPr="00AF1390">
        <w:rPr>
          <w:rFonts w:ascii="Arial" w:hAnsi="Arial" w:cs="Arial"/>
          <w:b/>
          <w:bCs/>
          <w:sz w:val="22"/>
          <w:szCs w:val="22"/>
        </w:rPr>
        <w:t xml:space="preserve">‘Energy-based </w:t>
      </w:r>
      <w:proofErr w:type="gramStart"/>
      <w:r w:rsidRPr="00AF1390">
        <w:rPr>
          <w:rFonts w:ascii="Arial" w:hAnsi="Arial" w:cs="Arial"/>
          <w:b/>
          <w:bCs/>
          <w:sz w:val="22"/>
          <w:szCs w:val="22"/>
        </w:rPr>
        <w:t>devices</w:t>
      </w:r>
      <w:r w:rsidRPr="0023018F">
        <w:rPr>
          <w:rFonts w:ascii="Arial" w:hAnsi="Arial" w:cs="Arial"/>
          <w:sz w:val="22"/>
          <w:szCs w:val="22"/>
        </w:rPr>
        <w:t>”  -</w:t>
      </w:r>
      <w:proofErr w:type="gramEnd"/>
      <w:r w:rsidRPr="0023018F">
        <w:rPr>
          <w:rFonts w:ascii="Arial" w:hAnsi="Arial" w:cs="Arial"/>
          <w:sz w:val="22"/>
          <w:szCs w:val="22"/>
        </w:rPr>
        <w:t xml:space="preserve"> are “plume-generating devices”</w:t>
      </w:r>
      <w:r w:rsidRPr="0023018F">
        <w:rPr>
          <w:rFonts w:ascii="Arial" w:eastAsia="Aptos" w:hAnsi="Arial" w:cs="Arial"/>
          <w:sz w:val="22"/>
          <w:szCs w:val="22"/>
        </w:rPr>
        <w:t xml:space="preserve"> that use energy to ablate, cauterize, or mechanically manipulate human tissue, including lasers, electrosurgical generators, broadband light sources, ultrasonic instruments, plasma generators, bone saws, and drills.</w:t>
      </w:r>
    </w:p>
    <w:p w14:paraId="1821BFA7" w14:textId="77777777" w:rsidR="0023018F" w:rsidRPr="00B15076" w:rsidRDefault="0023018F" w:rsidP="0023018F">
      <w:pPr>
        <w:spacing w:after="120" w:line="240" w:lineRule="auto"/>
        <w:ind w:left="1080" w:hanging="360"/>
        <w:rPr>
          <w:rFonts w:ascii="Arial" w:eastAsia="Aptos" w:hAnsi="Arial" w:cs="Arial"/>
        </w:rPr>
      </w:pPr>
    </w:p>
    <w:p w14:paraId="61C225C2" w14:textId="77777777" w:rsidR="0023018F" w:rsidRPr="0049332A" w:rsidRDefault="0023018F" w:rsidP="0023018F">
      <w:pPr>
        <w:ind w:left="720"/>
        <w:jc w:val="both"/>
        <w:rPr>
          <w:rFonts w:ascii="Arial" w:hAnsi="Arial" w:cs="Arial"/>
          <w:sz w:val="22"/>
          <w:szCs w:val="22"/>
        </w:rPr>
      </w:pPr>
      <w:r w:rsidRPr="0049332A">
        <w:rPr>
          <w:rFonts w:ascii="Arial" w:hAnsi="Arial" w:cs="Arial"/>
          <w:sz w:val="22"/>
          <w:szCs w:val="22"/>
        </w:rPr>
        <w:t xml:space="preserve">(15) </w:t>
      </w:r>
      <w:r w:rsidRPr="00AF1390">
        <w:rPr>
          <w:rFonts w:ascii="Arial" w:hAnsi="Arial" w:cs="Arial"/>
          <w:b/>
          <w:bCs/>
          <w:sz w:val="22"/>
          <w:szCs w:val="22"/>
        </w:rPr>
        <w:t>“Qualified Person”</w:t>
      </w:r>
      <w:r w:rsidRPr="0049332A">
        <w:rPr>
          <w:rFonts w:ascii="Arial" w:hAnsi="Arial" w:cs="Arial"/>
          <w:sz w:val="22"/>
          <w:szCs w:val="22"/>
        </w:rPr>
        <w:t xml:space="preserve"> - Expand to include individuals in hospitals and ASCs who are knowledgeable, trained, and capable of recognizing hazards, implementing engineering and work practice controls, and having the authority to enforce compliance. The industrial hygienist is a highly qualified stakeholder; however, most ASCs do not have access to this professional within their facilities. The “Qualified Person” in smoke-free hospitals in California includes a variety of medical roles. Besides an industrial hygienist, common qualified professionals working in a surgical environment include, but are not limited to, a Perioperative Nurse Manager, </w:t>
      </w:r>
      <w:r>
        <w:rPr>
          <w:rFonts w:ascii="Arial" w:hAnsi="Arial" w:cs="Arial"/>
          <w:sz w:val="22"/>
          <w:szCs w:val="22"/>
        </w:rPr>
        <w:t xml:space="preserve">Perioperative Educator, </w:t>
      </w:r>
      <w:r w:rsidRPr="0049332A">
        <w:rPr>
          <w:rFonts w:ascii="Arial" w:hAnsi="Arial" w:cs="Arial"/>
          <w:sz w:val="22"/>
          <w:szCs w:val="22"/>
        </w:rPr>
        <w:t>Environment of Care Officer, Safety Officer, Perioperative Clinical Nurse Specialist, or an Infection Preventionist with Operating Room expertise. According to AORN guidelines, a facility coordinator and an implementation team are required to lead</w:t>
      </w:r>
      <w:r w:rsidRPr="00B15076">
        <w:rPr>
          <w:rFonts w:ascii="Arial" w:hAnsi="Arial" w:cs="Arial"/>
          <w:sz w:val="22"/>
          <w:szCs w:val="22"/>
        </w:rPr>
        <w:t xml:space="preserve"> </w:t>
      </w:r>
      <w:r w:rsidRPr="0049332A">
        <w:rPr>
          <w:rFonts w:ascii="Arial" w:hAnsi="Arial" w:cs="Arial"/>
          <w:sz w:val="22"/>
          <w:szCs w:val="22"/>
        </w:rPr>
        <w:t>smoke-free initiatives. Surgical smoke or plume is a workplace hazard involving airborne contaminants, and these positions already oversee OSHA compliance, risk assessments, and hazard mitigation programs. Limiting the definition of a 'Qualified Person” solely to an Industrial Hygienist would be overly restrictive and financially prohibitive for nearly 900 ASCs in California. Broadening the definition of “Qualified Person</w:t>
      </w:r>
      <w:r>
        <w:rPr>
          <w:rFonts w:ascii="Arial" w:hAnsi="Arial" w:cs="Arial"/>
          <w:sz w:val="22"/>
          <w:szCs w:val="22"/>
        </w:rPr>
        <w:t>”</w:t>
      </w:r>
      <w:r w:rsidRPr="0049332A">
        <w:rPr>
          <w:rFonts w:ascii="Arial" w:hAnsi="Arial" w:cs="Arial"/>
          <w:sz w:val="22"/>
          <w:szCs w:val="22"/>
        </w:rPr>
        <w:t xml:space="preserve"> will make the implementation of this policy feasible, compliant, and financially sustainable.</w:t>
      </w:r>
    </w:p>
    <w:p w14:paraId="702F773D" w14:textId="77777777" w:rsidR="0023018F" w:rsidRPr="00B15076" w:rsidRDefault="0023018F" w:rsidP="0023018F">
      <w:pPr>
        <w:ind w:left="720"/>
        <w:jc w:val="both"/>
        <w:rPr>
          <w:rFonts w:ascii="Arial" w:hAnsi="Arial" w:cs="Arial"/>
          <w:b/>
          <w:bCs/>
          <w:sz w:val="22"/>
          <w:szCs w:val="22"/>
        </w:rPr>
      </w:pPr>
      <w:r w:rsidRPr="00B15076">
        <w:rPr>
          <w:rFonts w:ascii="Arial" w:hAnsi="Arial" w:cs="Arial"/>
          <w:b/>
          <w:bCs/>
          <w:sz w:val="22"/>
          <w:szCs w:val="22"/>
        </w:rPr>
        <w:t xml:space="preserve"> </w:t>
      </w:r>
    </w:p>
    <w:p w14:paraId="67FE5159" w14:textId="77777777" w:rsidR="0023018F" w:rsidRPr="00B15076" w:rsidRDefault="0023018F" w:rsidP="0023018F">
      <w:pPr>
        <w:rPr>
          <w:rFonts w:ascii="Arial" w:hAnsi="Arial" w:cs="Arial"/>
          <w:b/>
          <w:bCs/>
          <w:sz w:val="22"/>
          <w:szCs w:val="22"/>
        </w:rPr>
      </w:pPr>
      <w:r w:rsidRPr="0049332A">
        <w:rPr>
          <w:rFonts w:ascii="Arial" w:hAnsi="Arial" w:cs="Arial"/>
          <w:b/>
          <w:bCs/>
          <w:sz w:val="22"/>
          <w:szCs w:val="22"/>
        </w:rPr>
        <w:t>(c)</w:t>
      </w:r>
      <w:r w:rsidRPr="00B15076">
        <w:rPr>
          <w:rFonts w:ascii="Arial" w:hAnsi="Arial" w:cs="Arial"/>
          <w:b/>
          <w:bCs/>
          <w:sz w:val="22"/>
          <w:szCs w:val="22"/>
        </w:rPr>
        <w:t xml:space="preserve"> Control Measures</w:t>
      </w:r>
    </w:p>
    <w:p w14:paraId="2283BCA5" w14:textId="77777777" w:rsidR="0023018F" w:rsidRPr="0049332A" w:rsidRDefault="0023018F" w:rsidP="0023018F">
      <w:pPr>
        <w:jc w:val="both"/>
        <w:rPr>
          <w:rFonts w:ascii="Arial" w:hAnsi="Arial" w:cs="Arial"/>
          <w:sz w:val="22"/>
          <w:szCs w:val="22"/>
        </w:rPr>
      </w:pPr>
      <w:r>
        <w:rPr>
          <w:rFonts w:ascii="Arial" w:hAnsi="Arial" w:cs="Arial"/>
          <w:sz w:val="22"/>
          <w:szCs w:val="22"/>
        </w:rPr>
        <w:t xml:space="preserve">      </w:t>
      </w:r>
      <w:r w:rsidRPr="0049332A">
        <w:rPr>
          <w:rFonts w:ascii="Arial" w:hAnsi="Arial" w:cs="Arial"/>
          <w:sz w:val="22"/>
          <w:szCs w:val="22"/>
        </w:rPr>
        <w:t xml:space="preserve">1(B) General Ventilation. </w:t>
      </w:r>
    </w:p>
    <w:p w14:paraId="1D8C84A4" w14:textId="77777777" w:rsidR="00AF1390" w:rsidRDefault="00AF1390" w:rsidP="00AF1390">
      <w:pPr>
        <w:ind w:left="720"/>
        <w:jc w:val="both"/>
        <w:rPr>
          <w:rFonts w:ascii="Arial" w:hAnsi="Arial" w:cs="Arial"/>
          <w:sz w:val="22"/>
          <w:szCs w:val="22"/>
        </w:rPr>
      </w:pPr>
      <w:r w:rsidRPr="0049332A">
        <w:rPr>
          <w:rFonts w:ascii="Arial" w:hAnsi="Arial" w:cs="Arial"/>
          <w:sz w:val="22"/>
          <w:szCs w:val="22"/>
        </w:rPr>
        <w:t xml:space="preserve">Expand this definition to include the requirements for Procedure rooms and Endoscopy rooms, and to specify the minimum total air exchange rate per hour. California </w:t>
      </w:r>
    </w:p>
    <w:p w14:paraId="35C8CF80" w14:textId="77777777" w:rsidR="002C2AF4" w:rsidRDefault="002C2AF4" w:rsidP="0023018F">
      <w:pPr>
        <w:ind w:left="720"/>
        <w:jc w:val="both"/>
        <w:rPr>
          <w:rFonts w:ascii="Arial" w:hAnsi="Arial" w:cs="Arial"/>
          <w:sz w:val="22"/>
          <w:szCs w:val="22"/>
        </w:rPr>
      </w:pPr>
    </w:p>
    <w:p w14:paraId="20063156" w14:textId="77777777" w:rsidR="002C2AF4" w:rsidRDefault="002C2AF4" w:rsidP="0023018F">
      <w:pPr>
        <w:ind w:left="720"/>
        <w:jc w:val="both"/>
        <w:rPr>
          <w:rFonts w:ascii="Arial" w:hAnsi="Arial" w:cs="Arial"/>
          <w:sz w:val="22"/>
          <w:szCs w:val="22"/>
        </w:rPr>
      </w:pPr>
    </w:p>
    <w:p w14:paraId="5A01429F" w14:textId="77777777" w:rsidR="0023018F" w:rsidRDefault="0023018F" w:rsidP="0023018F">
      <w:pPr>
        <w:ind w:left="720"/>
        <w:jc w:val="both"/>
        <w:rPr>
          <w:rFonts w:ascii="Arial" w:hAnsi="Arial" w:cs="Arial"/>
          <w:sz w:val="22"/>
          <w:szCs w:val="22"/>
        </w:rPr>
      </w:pPr>
    </w:p>
    <w:p w14:paraId="7D65AA98" w14:textId="77777777" w:rsidR="0023018F" w:rsidRPr="0049332A" w:rsidRDefault="0023018F" w:rsidP="0023018F">
      <w:pPr>
        <w:ind w:left="720"/>
        <w:jc w:val="both"/>
        <w:rPr>
          <w:rFonts w:ascii="Arial" w:hAnsi="Arial" w:cs="Arial"/>
          <w:sz w:val="22"/>
          <w:szCs w:val="22"/>
        </w:rPr>
      </w:pPr>
      <w:r w:rsidRPr="0049332A">
        <w:rPr>
          <w:rFonts w:ascii="Arial" w:hAnsi="Arial" w:cs="Arial"/>
          <w:sz w:val="22"/>
          <w:szCs w:val="22"/>
        </w:rPr>
        <w:t>incorporates the standards of NFPA 99 and 101 (2012 version), as well as ANSI/ASHRAE/ASHE 170-2017 for room ventilation requirements in surgical and procedure rooms. Typically, ventilation for a Class A (clean) room requires 12 to 15 air exchanges per hour. Gastrointestinal (GI) endoscopy procedure rooms have a minimum air exchange rate of 6 per hour. Electrocautery and electrosurgical devices are commonly used in Procedure and GI rooms within hospitals and ambulatory surgical centers (ASCs). It would be impractical and cost-prohibitive to reschedule all such cases into an operating room with 20 air changes per hour (ACH) or to re-engineer the facility's HVAC systems.</w:t>
      </w:r>
    </w:p>
    <w:p w14:paraId="404E8B72" w14:textId="77777777" w:rsidR="0023018F" w:rsidRPr="00B15076" w:rsidRDefault="0023018F" w:rsidP="0023018F">
      <w:pPr>
        <w:ind w:left="720"/>
        <w:jc w:val="both"/>
        <w:rPr>
          <w:rFonts w:ascii="Arial" w:hAnsi="Arial" w:cs="Arial"/>
          <w:sz w:val="16"/>
          <w:szCs w:val="16"/>
        </w:rPr>
      </w:pPr>
    </w:p>
    <w:p w14:paraId="20486291" w14:textId="77777777" w:rsidR="0023018F" w:rsidRPr="00B15076" w:rsidRDefault="0023018F" w:rsidP="0023018F">
      <w:pPr>
        <w:rPr>
          <w:rFonts w:ascii="Arial" w:hAnsi="Arial" w:cs="Arial"/>
          <w:b/>
          <w:bCs/>
          <w:sz w:val="22"/>
          <w:szCs w:val="22"/>
        </w:rPr>
      </w:pPr>
      <w:r w:rsidRPr="00B15076">
        <w:rPr>
          <w:rFonts w:ascii="Arial" w:hAnsi="Arial" w:cs="Arial"/>
          <w:b/>
          <w:bCs/>
          <w:sz w:val="22"/>
          <w:szCs w:val="22"/>
        </w:rPr>
        <w:t>(f) Recordkeeping</w:t>
      </w:r>
    </w:p>
    <w:p w14:paraId="13FA1977" w14:textId="77777777" w:rsidR="0023018F" w:rsidRPr="00B15076" w:rsidRDefault="0023018F" w:rsidP="0023018F">
      <w:pPr>
        <w:jc w:val="both"/>
        <w:rPr>
          <w:rFonts w:ascii="Arial" w:hAnsi="Arial" w:cs="Arial"/>
          <w:sz w:val="22"/>
          <w:szCs w:val="22"/>
        </w:rPr>
      </w:pPr>
      <w:r w:rsidRPr="00B15076">
        <w:rPr>
          <w:rFonts w:ascii="Arial" w:hAnsi="Arial" w:cs="Arial"/>
          <w:sz w:val="22"/>
          <w:szCs w:val="22"/>
        </w:rPr>
        <w:t xml:space="preserve">Include that the employer shall make initial </w:t>
      </w:r>
      <w:r w:rsidRPr="00B15076">
        <w:rPr>
          <w:rFonts w:ascii="Arial" w:hAnsi="Arial" w:cs="Arial"/>
          <w:i/>
          <w:iCs/>
          <w:sz w:val="22"/>
          <w:szCs w:val="22"/>
        </w:rPr>
        <w:t>onboarding training and annual</w:t>
      </w:r>
      <w:r w:rsidRPr="00B15076">
        <w:rPr>
          <w:rFonts w:ascii="Arial" w:hAnsi="Arial" w:cs="Arial"/>
          <w:sz w:val="22"/>
          <w:szCs w:val="22"/>
        </w:rPr>
        <w:t xml:space="preserve"> competency training available for examination and provide copies of records.</w:t>
      </w:r>
    </w:p>
    <w:p w14:paraId="7CAF93F6" w14:textId="77777777" w:rsidR="0023018F" w:rsidRPr="00B15076" w:rsidRDefault="0023018F" w:rsidP="0023018F">
      <w:pPr>
        <w:pStyle w:val="ListParagraph"/>
        <w:jc w:val="both"/>
        <w:rPr>
          <w:rFonts w:ascii="Arial" w:hAnsi="Arial" w:cs="Arial"/>
          <w:sz w:val="16"/>
          <w:szCs w:val="16"/>
        </w:rPr>
      </w:pPr>
    </w:p>
    <w:p w14:paraId="76CC4B3C" w14:textId="77777777" w:rsidR="0023018F" w:rsidRPr="0049332A" w:rsidRDefault="0023018F" w:rsidP="0023018F">
      <w:pPr>
        <w:jc w:val="both"/>
        <w:rPr>
          <w:rFonts w:ascii="Arial" w:hAnsi="Arial" w:cs="Arial"/>
          <w:sz w:val="22"/>
          <w:szCs w:val="22"/>
        </w:rPr>
      </w:pPr>
      <w:r w:rsidRPr="0049332A">
        <w:rPr>
          <w:rFonts w:ascii="Arial" w:hAnsi="Arial" w:cs="Arial"/>
          <w:sz w:val="22"/>
          <w:szCs w:val="22"/>
        </w:rPr>
        <w:t>We respectfully submit these suggested edits to the plume exposure control provision to improve clarity, consistency, and enforceability. We believe these changes will enhance training, compliance, and employee protection across all perioperative settings. CAPP values Cal/OSHA’s active participation in previous live demonstrations to gain a comprehensive understanding of plume and surgical smoke toxicity, as well as the latest technological solutions to reduce this workplace risk. We are committed to supporting California’s regulatory efforts and are ready to provide further consultation, technical expertise, and help with other initiatives. Thank you for your guidance and dedication. We look forward to ongoing collaboration to promote a safety-first culture for healthcare workers and patients across California.</w:t>
      </w:r>
    </w:p>
    <w:p w14:paraId="166F3B34" w14:textId="77777777" w:rsidR="0023018F" w:rsidRPr="00F13B91" w:rsidRDefault="0023018F" w:rsidP="0023018F">
      <w:pPr>
        <w:jc w:val="both"/>
        <w:rPr>
          <w:rFonts w:ascii="Arial" w:hAnsi="Arial" w:cs="Arial"/>
          <w:sz w:val="22"/>
          <w:szCs w:val="22"/>
        </w:rPr>
      </w:pPr>
    </w:p>
    <w:p w14:paraId="443EFDDA" w14:textId="77777777" w:rsidR="0023018F" w:rsidRDefault="0023018F" w:rsidP="0023018F">
      <w:pPr>
        <w:rPr>
          <w:rFonts w:ascii="Arial" w:hAnsi="Arial" w:cs="Arial"/>
          <w:sz w:val="22"/>
          <w:szCs w:val="22"/>
        </w:rPr>
      </w:pPr>
      <w:r>
        <w:rPr>
          <w:rFonts w:ascii="Arial" w:hAnsi="Arial" w:cs="Arial"/>
          <w:sz w:val="22"/>
          <w:szCs w:val="22"/>
        </w:rPr>
        <w:t>Respectfully,</w:t>
      </w:r>
    </w:p>
    <w:p w14:paraId="3F9D645E" w14:textId="77777777" w:rsidR="0023018F" w:rsidRPr="007528D1" w:rsidRDefault="0023018F" w:rsidP="0023018F">
      <w:pPr>
        <w:rPr>
          <w:rFonts w:ascii="Arial" w:hAnsi="Arial" w:cs="Arial"/>
          <w:sz w:val="16"/>
          <w:szCs w:val="16"/>
        </w:rPr>
      </w:pPr>
    </w:p>
    <w:p w14:paraId="142051A1" w14:textId="77777777" w:rsidR="0023018F" w:rsidRDefault="0023018F" w:rsidP="0023018F">
      <w:pPr>
        <w:spacing w:after="0"/>
        <w:rPr>
          <w:rFonts w:ascii="Arial" w:hAnsi="Arial" w:cs="Arial"/>
          <w:sz w:val="22"/>
          <w:szCs w:val="22"/>
        </w:rPr>
      </w:pPr>
      <w:r>
        <w:rPr>
          <w:rFonts w:ascii="Arial" w:hAnsi="Arial" w:cs="Arial"/>
          <w:sz w:val="22"/>
          <w:szCs w:val="22"/>
        </w:rPr>
        <w:t xml:space="preserve">Patti Owens, </w:t>
      </w:r>
    </w:p>
    <w:p w14:paraId="5C06C673" w14:textId="77777777" w:rsidR="00380576" w:rsidRDefault="00380576" w:rsidP="0023018F">
      <w:pPr>
        <w:spacing w:after="0"/>
        <w:rPr>
          <w:rFonts w:ascii="Arial" w:hAnsi="Arial" w:cs="Arial"/>
          <w:sz w:val="22"/>
          <w:szCs w:val="22"/>
        </w:rPr>
      </w:pPr>
    </w:p>
    <w:p w14:paraId="36E83B0C" w14:textId="77777777" w:rsidR="0023018F" w:rsidRDefault="0023018F" w:rsidP="0023018F">
      <w:pPr>
        <w:spacing w:after="0"/>
        <w:rPr>
          <w:rFonts w:ascii="Arial" w:hAnsi="Arial" w:cs="Arial"/>
          <w:sz w:val="22"/>
          <w:szCs w:val="22"/>
        </w:rPr>
      </w:pPr>
    </w:p>
    <w:p w14:paraId="062DFF9F" w14:textId="2F3D3C2F" w:rsidR="0023018F" w:rsidRDefault="00380576" w:rsidP="0023018F">
      <w:pPr>
        <w:spacing w:after="0"/>
        <w:rPr>
          <w:rFonts w:ascii="Arial" w:hAnsi="Arial" w:cs="Arial"/>
          <w:sz w:val="22"/>
          <w:szCs w:val="22"/>
        </w:rPr>
      </w:pPr>
      <w:r>
        <w:rPr>
          <w:rFonts w:ascii="Arial" w:hAnsi="Arial" w:cs="Arial"/>
          <w:sz w:val="22"/>
          <w:szCs w:val="22"/>
        </w:rPr>
        <w:t xml:space="preserve">Patti Owens </w:t>
      </w:r>
      <w:r w:rsidR="0023018F">
        <w:rPr>
          <w:rFonts w:ascii="Arial" w:hAnsi="Arial" w:cs="Arial"/>
          <w:sz w:val="22"/>
          <w:szCs w:val="22"/>
        </w:rPr>
        <w:t xml:space="preserve">MHA, BSN, RN, CNOR, CMLSO, FAORN                                                                                                    </w:t>
      </w:r>
    </w:p>
    <w:p w14:paraId="2DB43C72" w14:textId="5F53732C" w:rsidR="0023018F" w:rsidRDefault="0023018F" w:rsidP="0023018F">
      <w:pPr>
        <w:spacing w:after="0"/>
        <w:rPr>
          <w:rFonts w:ascii="Arial" w:hAnsi="Arial" w:cs="Arial"/>
          <w:sz w:val="22"/>
          <w:szCs w:val="22"/>
        </w:rPr>
      </w:pPr>
      <w:r>
        <w:rPr>
          <w:rFonts w:ascii="Arial" w:hAnsi="Arial" w:cs="Arial"/>
          <w:sz w:val="22"/>
          <w:szCs w:val="22"/>
        </w:rPr>
        <w:t>On behalf of the California A</w:t>
      </w:r>
      <w:r w:rsidR="00616C82">
        <w:rPr>
          <w:rFonts w:ascii="Arial" w:hAnsi="Arial" w:cs="Arial"/>
          <w:sz w:val="22"/>
          <w:szCs w:val="22"/>
        </w:rPr>
        <w:t>lliance</w:t>
      </w:r>
      <w:r>
        <w:rPr>
          <w:rFonts w:ascii="Arial" w:hAnsi="Arial" w:cs="Arial"/>
          <w:sz w:val="22"/>
          <w:szCs w:val="22"/>
        </w:rPr>
        <w:t xml:space="preserve"> of Perioperative Practice (CAPP) Committee,</w:t>
      </w:r>
    </w:p>
    <w:p w14:paraId="767FB867" w14:textId="77777777" w:rsidR="0023018F" w:rsidRDefault="0023018F" w:rsidP="0023018F">
      <w:pPr>
        <w:spacing w:after="0"/>
        <w:rPr>
          <w:rFonts w:ascii="Arial" w:hAnsi="Arial" w:cs="Arial"/>
          <w:sz w:val="22"/>
          <w:szCs w:val="22"/>
        </w:rPr>
      </w:pPr>
      <w:proofErr w:type="gramStart"/>
      <w:r>
        <w:rPr>
          <w:rFonts w:ascii="Arial" w:hAnsi="Arial" w:cs="Arial"/>
          <w:sz w:val="22"/>
          <w:szCs w:val="22"/>
        </w:rPr>
        <w:t>Smoke</w:t>
      </w:r>
      <w:proofErr w:type="gramEnd"/>
      <w:r>
        <w:rPr>
          <w:rFonts w:ascii="Arial" w:hAnsi="Arial" w:cs="Arial"/>
          <w:sz w:val="22"/>
          <w:szCs w:val="22"/>
        </w:rPr>
        <w:t xml:space="preserve"> Evacuation Task Force Chair </w:t>
      </w:r>
    </w:p>
    <w:p w14:paraId="1CD24334" w14:textId="77777777" w:rsidR="0023018F" w:rsidRDefault="0023018F" w:rsidP="0023018F">
      <w:pPr>
        <w:spacing w:after="0"/>
        <w:rPr>
          <w:rFonts w:ascii="Arial" w:hAnsi="Arial" w:cs="Arial"/>
          <w:sz w:val="22"/>
          <w:szCs w:val="22"/>
        </w:rPr>
      </w:pPr>
      <w:hyperlink r:id="rId6" w:history="1">
        <w:r w:rsidRPr="00250BF7">
          <w:rPr>
            <w:rStyle w:val="Hyperlink"/>
            <w:rFonts w:ascii="Arial" w:hAnsi="Arial" w:cs="Arial"/>
            <w:sz w:val="22"/>
            <w:szCs w:val="22"/>
          </w:rPr>
          <w:t>Patti.owens.laser@gmail.com</w:t>
        </w:r>
      </w:hyperlink>
    </w:p>
    <w:p w14:paraId="7488B20F" w14:textId="72C69BD6" w:rsidR="00E00DDD" w:rsidRDefault="0023018F" w:rsidP="004A6A7C">
      <w:pPr>
        <w:spacing w:after="0"/>
      </w:pPr>
      <w:r>
        <w:rPr>
          <w:rFonts w:ascii="Arial" w:hAnsi="Arial" w:cs="Arial"/>
          <w:sz w:val="22"/>
          <w:szCs w:val="22"/>
        </w:rPr>
        <w:t>(360) 280-0269</w:t>
      </w:r>
    </w:p>
    <w:sectPr w:rsidR="00E00DDD" w:rsidSect="0023018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6E314" w14:textId="77777777" w:rsidR="00643712" w:rsidRDefault="00643712">
      <w:pPr>
        <w:spacing w:after="0" w:line="240" w:lineRule="auto"/>
      </w:pPr>
      <w:r>
        <w:separator/>
      </w:r>
    </w:p>
  </w:endnote>
  <w:endnote w:type="continuationSeparator" w:id="0">
    <w:p w14:paraId="2521E746" w14:textId="77777777" w:rsidR="00643712" w:rsidRDefault="00643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DB91" w14:textId="77777777" w:rsidR="00643712" w:rsidRDefault="00643712">
      <w:pPr>
        <w:spacing w:after="0" w:line="240" w:lineRule="auto"/>
      </w:pPr>
      <w:r>
        <w:separator/>
      </w:r>
    </w:p>
  </w:footnote>
  <w:footnote w:type="continuationSeparator" w:id="0">
    <w:p w14:paraId="0061C2A9" w14:textId="77777777" w:rsidR="00643712" w:rsidRDefault="00643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FF57" w14:textId="77777777" w:rsidR="0023018F" w:rsidRDefault="0023018F">
    <w:pPr>
      <w:pStyle w:val="Header"/>
    </w:pPr>
    <w:r>
      <w:rPr>
        <w:noProof/>
      </w:rPr>
      <w:drawing>
        <wp:anchor distT="0" distB="0" distL="114300" distR="114300" simplePos="0" relativeHeight="251659264" behindDoc="1" locked="0" layoutInCell="1" allowOverlap="1" wp14:anchorId="4A0BF26D" wp14:editId="4760213B">
          <wp:simplePos x="0" y="0"/>
          <wp:positionH relativeFrom="margin">
            <wp:align>center</wp:align>
          </wp:positionH>
          <wp:positionV relativeFrom="paragraph">
            <wp:posOffset>-294835</wp:posOffset>
          </wp:positionV>
          <wp:extent cx="4438015" cy="655320"/>
          <wp:effectExtent l="190500" t="190500" r="191135" b="182880"/>
          <wp:wrapTight wrapText="bothSides">
            <wp:wrapPolygon edited="0">
              <wp:start x="185" y="-6279"/>
              <wp:lineTo x="-927" y="-5023"/>
              <wp:lineTo x="-927" y="19465"/>
              <wp:lineTo x="-278" y="25116"/>
              <wp:lineTo x="185" y="27000"/>
              <wp:lineTo x="21325" y="27000"/>
              <wp:lineTo x="21789" y="25116"/>
              <wp:lineTo x="22438" y="15698"/>
              <wp:lineTo x="22438" y="5023"/>
              <wp:lineTo x="21418" y="-4395"/>
              <wp:lineTo x="21325" y="-6279"/>
              <wp:lineTo x="185" y="-6279"/>
            </wp:wrapPolygon>
          </wp:wrapTight>
          <wp:docPr id="3" name="Picture 2" descr="A close up of a logo&#10;&#10;AI-generated content may be incorrect.">
            <a:extLst xmlns:a="http://schemas.openxmlformats.org/drawingml/2006/main">
              <a:ext uri="{FF2B5EF4-FFF2-40B4-BE49-F238E27FC236}">
                <a16:creationId xmlns:a16="http://schemas.microsoft.com/office/drawing/2014/main" id="{0D6AAD3B-1A26-F9CB-9D2A-371BD3E275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logo&#10;&#10;AI-generated content may be incorrect.">
                    <a:extLst>
                      <a:ext uri="{FF2B5EF4-FFF2-40B4-BE49-F238E27FC236}">
                        <a16:creationId xmlns:a16="http://schemas.microsoft.com/office/drawing/2014/main" id="{0D6AAD3B-1A26-F9CB-9D2A-371BD3E2757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438015" cy="655320"/>
                  </a:xfrm>
                  <a:prstGeom prst="rect">
                    <a:avLst/>
                  </a:prstGeom>
                  <a:ln>
                    <a:noFill/>
                  </a:ln>
                  <a:effectLst>
                    <a:outerShdw blurRad="190500" algn="tl" rotWithShape="0">
                      <a:srgbClr val="000000">
                        <a:alpha val="70000"/>
                      </a:srgbClr>
                    </a:outerShdw>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8F"/>
    <w:rsid w:val="00013232"/>
    <w:rsid w:val="0023018F"/>
    <w:rsid w:val="002C2AF4"/>
    <w:rsid w:val="002D5D18"/>
    <w:rsid w:val="003131CD"/>
    <w:rsid w:val="00380576"/>
    <w:rsid w:val="003A4391"/>
    <w:rsid w:val="00440E26"/>
    <w:rsid w:val="0048403A"/>
    <w:rsid w:val="004A6A7C"/>
    <w:rsid w:val="00616C82"/>
    <w:rsid w:val="00643712"/>
    <w:rsid w:val="00755C01"/>
    <w:rsid w:val="008557DF"/>
    <w:rsid w:val="00AF1390"/>
    <w:rsid w:val="00BE0D67"/>
    <w:rsid w:val="00E00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0AFA"/>
  <w15:chartTrackingRefBased/>
  <w15:docId w15:val="{EE388CC9-8EF7-4597-B44D-894F1489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8F"/>
  </w:style>
  <w:style w:type="paragraph" w:styleId="Heading1">
    <w:name w:val="heading 1"/>
    <w:basedOn w:val="Normal"/>
    <w:next w:val="Normal"/>
    <w:link w:val="Heading1Char"/>
    <w:uiPriority w:val="9"/>
    <w:qFormat/>
    <w:rsid w:val="00230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1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1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1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18F"/>
    <w:rPr>
      <w:rFonts w:eastAsiaTheme="majorEastAsia" w:cstheme="majorBidi"/>
      <w:color w:val="272727" w:themeColor="text1" w:themeTint="D8"/>
    </w:rPr>
  </w:style>
  <w:style w:type="paragraph" w:styleId="Title">
    <w:name w:val="Title"/>
    <w:basedOn w:val="Normal"/>
    <w:next w:val="Normal"/>
    <w:link w:val="TitleChar"/>
    <w:uiPriority w:val="10"/>
    <w:qFormat/>
    <w:rsid w:val="00230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18F"/>
    <w:pPr>
      <w:spacing w:before="160"/>
      <w:jc w:val="center"/>
    </w:pPr>
    <w:rPr>
      <w:i/>
      <w:iCs/>
      <w:color w:val="404040" w:themeColor="text1" w:themeTint="BF"/>
    </w:rPr>
  </w:style>
  <w:style w:type="character" w:customStyle="1" w:styleId="QuoteChar">
    <w:name w:val="Quote Char"/>
    <w:basedOn w:val="DefaultParagraphFont"/>
    <w:link w:val="Quote"/>
    <w:uiPriority w:val="29"/>
    <w:rsid w:val="0023018F"/>
    <w:rPr>
      <w:i/>
      <w:iCs/>
      <w:color w:val="404040" w:themeColor="text1" w:themeTint="BF"/>
    </w:rPr>
  </w:style>
  <w:style w:type="paragraph" w:styleId="ListParagraph">
    <w:name w:val="List Paragraph"/>
    <w:basedOn w:val="Normal"/>
    <w:uiPriority w:val="34"/>
    <w:qFormat/>
    <w:rsid w:val="0023018F"/>
    <w:pPr>
      <w:ind w:left="720"/>
      <w:contextualSpacing/>
    </w:pPr>
  </w:style>
  <w:style w:type="character" w:styleId="IntenseEmphasis">
    <w:name w:val="Intense Emphasis"/>
    <w:basedOn w:val="DefaultParagraphFont"/>
    <w:uiPriority w:val="21"/>
    <w:qFormat/>
    <w:rsid w:val="0023018F"/>
    <w:rPr>
      <w:i/>
      <w:iCs/>
      <w:color w:val="0F4761" w:themeColor="accent1" w:themeShade="BF"/>
    </w:rPr>
  </w:style>
  <w:style w:type="paragraph" w:styleId="IntenseQuote">
    <w:name w:val="Intense Quote"/>
    <w:basedOn w:val="Normal"/>
    <w:next w:val="Normal"/>
    <w:link w:val="IntenseQuoteChar"/>
    <w:uiPriority w:val="30"/>
    <w:qFormat/>
    <w:rsid w:val="00230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18F"/>
    <w:rPr>
      <w:i/>
      <w:iCs/>
      <w:color w:val="0F4761" w:themeColor="accent1" w:themeShade="BF"/>
    </w:rPr>
  </w:style>
  <w:style w:type="character" w:styleId="IntenseReference">
    <w:name w:val="Intense Reference"/>
    <w:basedOn w:val="DefaultParagraphFont"/>
    <w:uiPriority w:val="32"/>
    <w:qFormat/>
    <w:rsid w:val="0023018F"/>
    <w:rPr>
      <w:b/>
      <w:bCs/>
      <w:smallCaps/>
      <w:color w:val="0F4761" w:themeColor="accent1" w:themeShade="BF"/>
      <w:spacing w:val="5"/>
    </w:rPr>
  </w:style>
  <w:style w:type="paragraph" w:styleId="Header">
    <w:name w:val="header"/>
    <w:basedOn w:val="Normal"/>
    <w:link w:val="HeaderChar"/>
    <w:uiPriority w:val="99"/>
    <w:unhideWhenUsed/>
    <w:rsid w:val="00230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18F"/>
  </w:style>
  <w:style w:type="character" w:styleId="Hyperlink">
    <w:name w:val="Hyperlink"/>
    <w:basedOn w:val="DefaultParagraphFont"/>
    <w:uiPriority w:val="99"/>
    <w:unhideWhenUsed/>
    <w:rsid w:val="0023018F"/>
    <w:rPr>
      <w:color w:val="467886" w:themeColor="hyperlink"/>
      <w:u w:val="single"/>
    </w:rPr>
  </w:style>
  <w:style w:type="character" w:styleId="CommentReference">
    <w:name w:val="annotation reference"/>
    <w:basedOn w:val="DefaultParagraphFont"/>
    <w:uiPriority w:val="99"/>
    <w:semiHidden/>
    <w:unhideWhenUsed/>
    <w:rsid w:val="0023018F"/>
    <w:rPr>
      <w:sz w:val="16"/>
      <w:szCs w:val="16"/>
    </w:rPr>
  </w:style>
  <w:style w:type="paragraph" w:styleId="CommentText">
    <w:name w:val="annotation text"/>
    <w:basedOn w:val="Normal"/>
    <w:link w:val="CommentTextChar"/>
    <w:uiPriority w:val="99"/>
    <w:unhideWhenUsed/>
    <w:rsid w:val="0023018F"/>
    <w:pPr>
      <w:spacing w:line="240" w:lineRule="auto"/>
    </w:pPr>
    <w:rPr>
      <w:sz w:val="20"/>
      <w:szCs w:val="20"/>
    </w:rPr>
  </w:style>
  <w:style w:type="character" w:customStyle="1" w:styleId="CommentTextChar">
    <w:name w:val="Comment Text Char"/>
    <w:basedOn w:val="DefaultParagraphFont"/>
    <w:link w:val="CommentText"/>
    <w:uiPriority w:val="99"/>
    <w:rsid w:val="002301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tti.owens.laser@gmail.com"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B7044F9722E4AB4B741B5E8F36051" ma:contentTypeVersion="24" ma:contentTypeDescription="Create a new document." ma:contentTypeScope="" ma:versionID="a7595da0c7dde7ec577d153b472bde99">
  <xsd:schema xmlns:xsd="http://www.w3.org/2001/XMLSchema" xmlns:xs="http://www.w3.org/2001/XMLSchema" xmlns:p="http://schemas.microsoft.com/office/2006/metadata/properties" xmlns:ns1="http://schemas.microsoft.com/sharepoint/v3" xmlns:ns2="26517f30-a096-45ee-8dcd-226fd63636f6" xmlns:ns3="07ed17aa-2aff-4be6-bad4-fa6c8c18855b" targetNamespace="http://schemas.microsoft.com/office/2006/metadata/properties" ma:root="true" ma:fieldsID="a1dd8a2fdfa180895ed4efed92ff725f" ns1:_="" ns2:_="" ns3:_="">
    <xsd:import namespace="http://schemas.microsoft.com/sharepoint/v3"/>
    <xsd:import namespace="26517f30-a096-45ee-8dcd-226fd63636f6"/>
    <xsd:import namespace="07ed17aa-2aff-4be6-bad4-fa6c8c18855b"/>
    <xsd:element name="properties">
      <xsd:complexType>
        <xsd:sequence>
          <xsd:element name="documentManagement">
            <xsd:complexType>
              <xsd:all>
                <xsd:element ref="ns2:Numberoffiles" minOccurs="0"/>
                <xsd:element ref="ns2:RemediationComple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_x002d_tim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7f30-a096-45ee-8dcd-226fd63636f6" elementFormDefault="qualified">
    <xsd:import namespace="http://schemas.microsoft.com/office/2006/documentManagement/types"/>
    <xsd:import namespace="http://schemas.microsoft.com/office/infopath/2007/PartnerControls"/>
    <xsd:element name="Numberoffiles" ma:index="3" nillable="true" ma:displayName="Number of files" ma:format="Dropdown" ma:internalName="Numberoffiles" ma:readOnly="false" ma:percentage="FALSE">
      <xsd:simpleType>
        <xsd:restriction base="dms:Number"/>
      </xsd:simpleType>
    </xsd:element>
    <xsd:element name="RemediationComplete" ma:index="4" nillable="true" ma:displayName="Remediation Complete" ma:default="No" ma:format="Dropdown" ma:internalName="RemediationComplete" ma:readOnly="false">
      <xsd:simpleType>
        <xsd:restriction base="dms:Choice">
          <xsd:enumeration value="Yes"/>
          <xsd:enumeration value="In Progress"/>
          <xsd:enumeration value="No"/>
          <xsd:enumeration value="Not Required"/>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_x002d_time" ma:index="22" nillable="true" ma:displayName="date-time" ma:format="DateTime" ma:hidden="true" ma:internalName="date_x002d_time" ma:readOnly="fals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d17aa-2aff-4be6-bad4-fa6c8c18855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a691f07-6d57-45c1-819c-511880fad160}" ma:internalName="TaxCatchAll" ma:readOnly="false" ma:showField="CatchAllData" ma:web="07ed17aa-2aff-4be6-bad4-fa6c8c1885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Complete xmlns="26517f30-a096-45ee-8dcd-226fd63636f6">No</RemediationComplete>
    <_ip_UnifiedCompliancePolicyUIAction xmlns="http://schemas.microsoft.com/sharepoint/v3" xsi:nil="true"/>
    <TaxCatchAll xmlns="07ed17aa-2aff-4be6-bad4-fa6c8c18855b" xsi:nil="true"/>
    <lcf76f155ced4ddcb4097134ff3c332f xmlns="26517f30-a096-45ee-8dcd-226fd63636f6">
      <Terms xmlns="http://schemas.microsoft.com/office/infopath/2007/PartnerControls"/>
    </lcf76f155ced4ddcb4097134ff3c332f>
    <_ip_UnifiedCompliancePolicyProperties xmlns="http://schemas.microsoft.com/sharepoint/v3" xsi:nil="true"/>
    <Numberoffiles xmlns="26517f30-a096-45ee-8dcd-226fd63636f6" xsi:nil="true"/>
    <date_x002d_time xmlns="26517f30-a096-45ee-8dcd-226fd63636f6" xsi:nil="true"/>
  </documentManagement>
</p:properties>
</file>

<file path=customXml/itemProps1.xml><?xml version="1.0" encoding="utf-8"?>
<ds:datastoreItem xmlns:ds="http://schemas.openxmlformats.org/officeDocument/2006/customXml" ds:itemID="{B489556D-849C-43C9-AD88-4A5941B15A5D}"/>
</file>

<file path=customXml/itemProps2.xml><?xml version="1.0" encoding="utf-8"?>
<ds:datastoreItem xmlns:ds="http://schemas.openxmlformats.org/officeDocument/2006/customXml" ds:itemID="{5DE9574C-6397-438B-93CF-CECE41EAB6A8}"/>
</file>

<file path=customXml/itemProps3.xml><?xml version="1.0" encoding="utf-8"?>
<ds:datastoreItem xmlns:ds="http://schemas.openxmlformats.org/officeDocument/2006/customXml" ds:itemID="{1C8C045E-6C3C-4E84-B7E7-5B8852F688D6}"/>
</file>

<file path=docProps/app.xml><?xml version="1.0" encoding="utf-8"?>
<Properties xmlns="http://schemas.openxmlformats.org/officeDocument/2006/extended-properties" xmlns:vt="http://schemas.openxmlformats.org/officeDocument/2006/docPropsVTypes">
  <Template>Normal</Template>
  <TotalTime>0</TotalTime>
  <Pages>3</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 Owens</dc:creator>
  <cp:keywords/>
  <dc:description/>
  <cp:lastModifiedBy>Patti Owens</cp:lastModifiedBy>
  <cp:revision>2</cp:revision>
  <dcterms:created xsi:type="dcterms:W3CDTF">2026-05-29T21:39:00Z</dcterms:created>
  <dcterms:modified xsi:type="dcterms:W3CDTF">2026-05-29T21:39:00Z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0ec910e0-80ba-48b1-b95a-08c8a4d1e9ef</vt:lpwstr>
  </property>
  <property fmtid="{D5CDD505-2E9C-101B-9397-08002B2CF9AE}" pid="3" name="ContentTypeId">
    <vt:lpwstr>0x010100D2AB7044F9722E4AB4B741B5E8F36051</vt:lpwstr>
  </property>
</Properties>
</file>