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8A118" w14:textId="77777777" w:rsidR="00B877BF" w:rsidRPr="00A80B04" w:rsidRDefault="00B877BF">
      <w:pPr>
        <w:pStyle w:val="Title"/>
        <w:rPr>
          <w:rFonts w:ascii="Arial" w:hAnsi="Arial" w:cs="Arial"/>
        </w:rPr>
      </w:pPr>
      <w:r w:rsidRPr="00A80B04">
        <w:rPr>
          <w:rFonts w:ascii="Arial" w:hAnsi="Arial" w:cs="Arial"/>
        </w:rPr>
        <w:t xml:space="preserve">OMFS Update for </w:t>
      </w:r>
      <w:r w:rsidR="0085120C" w:rsidRPr="00A80B04">
        <w:rPr>
          <w:rFonts w:ascii="Arial" w:hAnsi="Arial" w:cs="Arial"/>
        </w:rPr>
        <w:t xml:space="preserve">Physician and </w:t>
      </w:r>
      <w:r w:rsidR="00E13210" w:rsidRPr="00A80B04">
        <w:rPr>
          <w:rFonts w:ascii="Arial" w:hAnsi="Arial" w:cs="Arial"/>
        </w:rPr>
        <w:t>Non-Physician</w:t>
      </w:r>
      <w:r w:rsidR="00A038F1" w:rsidRPr="00A80B04">
        <w:rPr>
          <w:rFonts w:ascii="Arial" w:hAnsi="Arial" w:cs="Arial"/>
        </w:rPr>
        <w:t xml:space="preserve"> Practitioner Services</w:t>
      </w:r>
    </w:p>
    <w:p w14:paraId="59EFE8A7" w14:textId="380EC4FC" w:rsidR="00B40B58" w:rsidRDefault="00B40B58">
      <w:pPr>
        <w:pStyle w:val="Title"/>
        <w:rPr>
          <w:rFonts w:ascii="Arial" w:hAnsi="Arial" w:cs="Arial"/>
        </w:rPr>
      </w:pPr>
      <w:r>
        <w:rPr>
          <w:rFonts w:ascii="Arial" w:hAnsi="Arial" w:cs="Arial"/>
        </w:rPr>
        <w:t xml:space="preserve">Attachment to Administrative Director Order dated </w:t>
      </w:r>
      <w:r w:rsidR="00D572DA">
        <w:rPr>
          <w:rFonts w:ascii="Arial" w:hAnsi="Arial" w:cs="Arial"/>
        </w:rPr>
        <w:t>March 25</w:t>
      </w:r>
      <w:r w:rsidRPr="00A83051">
        <w:rPr>
          <w:rFonts w:ascii="Arial" w:hAnsi="Arial" w:cs="Arial"/>
        </w:rPr>
        <w:t xml:space="preserve">, </w:t>
      </w:r>
      <w:r w:rsidR="00437B32" w:rsidRPr="00A83051">
        <w:rPr>
          <w:rFonts w:ascii="Arial" w:hAnsi="Arial" w:cs="Arial"/>
        </w:rPr>
        <w:t>2024</w:t>
      </w:r>
    </w:p>
    <w:p w14:paraId="1E3904C4" w14:textId="0B4E9D0F" w:rsidR="00A038F1" w:rsidRPr="00A80B04" w:rsidRDefault="00A038F1">
      <w:pPr>
        <w:pStyle w:val="Title"/>
        <w:rPr>
          <w:rFonts w:ascii="Arial" w:hAnsi="Arial" w:cs="Arial"/>
        </w:rPr>
      </w:pPr>
      <w:r w:rsidRPr="00A80B04">
        <w:rPr>
          <w:rFonts w:ascii="Arial" w:hAnsi="Arial" w:cs="Arial"/>
        </w:rPr>
        <w:t>Explanation of Changes</w:t>
      </w:r>
      <w:r w:rsidR="00D572DA">
        <w:rPr>
          <w:rFonts w:ascii="Arial" w:hAnsi="Arial" w:cs="Arial"/>
        </w:rPr>
        <w:t xml:space="preserve"> to Conversion Factors</w:t>
      </w:r>
    </w:p>
    <w:p w14:paraId="0C788E06" w14:textId="59BF42A5" w:rsidR="00B877BF" w:rsidRPr="00C75DA2" w:rsidRDefault="00B877BF" w:rsidP="00FD0244">
      <w:pPr>
        <w:pStyle w:val="Title"/>
        <w:spacing w:after="480"/>
        <w:rPr>
          <w:rFonts w:ascii="Arial" w:hAnsi="Arial" w:cs="Arial"/>
        </w:rPr>
      </w:pPr>
      <w:r w:rsidRPr="003E4E89">
        <w:rPr>
          <w:rFonts w:ascii="Arial" w:hAnsi="Arial" w:cs="Arial"/>
        </w:rPr>
        <w:t>(</w:t>
      </w:r>
      <w:r w:rsidRPr="00A83051">
        <w:rPr>
          <w:rFonts w:ascii="Arial" w:hAnsi="Arial" w:cs="Arial"/>
        </w:rPr>
        <w:t xml:space="preserve">Effective </w:t>
      </w:r>
      <w:r w:rsidR="00D572DA">
        <w:rPr>
          <w:rFonts w:ascii="Arial" w:hAnsi="Arial" w:cs="Arial"/>
        </w:rPr>
        <w:t>April 1</w:t>
      </w:r>
      <w:r w:rsidR="0085120C" w:rsidRPr="00A83051">
        <w:rPr>
          <w:rFonts w:ascii="Arial" w:hAnsi="Arial" w:cs="Arial"/>
        </w:rPr>
        <w:t xml:space="preserve">, </w:t>
      </w:r>
      <w:r w:rsidR="00CF4F56" w:rsidRPr="00A83051">
        <w:rPr>
          <w:rFonts w:ascii="Arial" w:hAnsi="Arial" w:cs="Arial"/>
        </w:rPr>
        <w:t>2024</w:t>
      </w:r>
      <w:r w:rsidRPr="00A83051">
        <w:rPr>
          <w:rFonts w:ascii="Arial" w:hAnsi="Arial" w:cs="Arial"/>
        </w:rPr>
        <w:t>)</w:t>
      </w:r>
    </w:p>
    <w:p w14:paraId="07ED4636" w14:textId="77777777" w:rsidR="00B877BF" w:rsidRPr="00437B32" w:rsidRDefault="00B877BF" w:rsidP="00FD0244">
      <w:pPr>
        <w:pStyle w:val="Heading1"/>
        <w:spacing w:after="360"/>
      </w:pPr>
      <w:r w:rsidRPr="00C64F22">
        <w:t xml:space="preserve">Data </w:t>
      </w:r>
      <w:r w:rsidRPr="00437B32">
        <w:t>Sources</w:t>
      </w:r>
    </w:p>
    <w:p w14:paraId="2F88400B" w14:textId="77777777" w:rsidR="00E275DA" w:rsidRPr="004551EA" w:rsidRDefault="00FD6825" w:rsidP="00A87581">
      <w:pPr>
        <w:spacing w:after="240"/>
        <w:ind w:left="360"/>
        <w:rPr>
          <w:rFonts w:ascii="Arial" w:hAnsi="Arial" w:cs="Arial"/>
          <w:b/>
          <w:u w:val="single"/>
        </w:rPr>
      </w:pPr>
      <w:r w:rsidRPr="004551EA">
        <w:rPr>
          <w:rFonts w:ascii="Arial" w:hAnsi="Arial" w:cs="Arial"/>
          <w:b/>
          <w:u w:val="single"/>
        </w:rPr>
        <w:t>Congressional Legislation</w:t>
      </w:r>
    </w:p>
    <w:p w14:paraId="695EC2E8" w14:textId="77777777" w:rsidR="00F864FD" w:rsidRPr="004551EA" w:rsidRDefault="00F864FD" w:rsidP="00E275DA">
      <w:pPr>
        <w:spacing w:after="360"/>
        <w:ind w:left="360"/>
        <w:rPr>
          <w:rFonts w:ascii="Arial" w:hAnsi="Arial" w:cs="Arial"/>
        </w:rPr>
      </w:pPr>
      <w:r w:rsidRPr="004551EA">
        <w:rPr>
          <w:rFonts w:ascii="Arial" w:hAnsi="Arial" w:cs="Arial"/>
        </w:rPr>
        <w:t>The following congressional legislation impacts calculation of the workers’ compensation conversion factors as set forth in the text below.</w:t>
      </w:r>
    </w:p>
    <w:p w14:paraId="7D3B1AEE" w14:textId="77777777" w:rsidR="00D572DA" w:rsidRDefault="00CD3B23" w:rsidP="00D572DA">
      <w:pPr>
        <w:spacing w:after="240"/>
        <w:ind w:left="360"/>
        <w:rPr>
          <w:rFonts w:ascii="Arial" w:hAnsi="Arial" w:cs="Arial"/>
        </w:rPr>
      </w:pPr>
      <w:hyperlink r:id="rId8" w:history="1">
        <w:r w:rsidR="0067759A" w:rsidRPr="005808E3">
          <w:rPr>
            <w:rStyle w:val="Hyperlink"/>
            <w:rFonts w:cs="Arial"/>
          </w:rPr>
          <w:t>Consolidated Appropriations Act, 2023 (HR 2617)</w:t>
        </w:r>
      </w:hyperlink>
      <w:r w:rsidR="00386405" w:rsidRPr="005808E3">
        <w:t xml:space="preserve"> </w:t>
      </w:r>
      <w:r w:rsidR="00386405" w:rsidRPr="005808E3">
        <w:rPr>
          <w:rFonts w:ascii="Arial" w:hAnsi="Arial" w:cs="Arial"/>
        </w:rPr>
        <w:t>Public Law 117-328.</w:t>
      </w:r>
    </w:p>
    <w:p w14:paraId="4D7BE6C1" w14:textId="5AAA4E2E" w:rsidR="00D572DA" w:rsidRDefault="00CD3B23" w:rsidP="00D572DA">
      <w:pPr>
        <w:spacing w:after="240"/>
        <w:ind w:left="360"/>
        <w:rPr>
          <w:rFonts w:ascii="Arial" w:hAnsi="Arial" w:cs="Arial"/>
          <w:b/>
          <w:u w:val="single"/>
        </w:rPr>
      </w:pPr>
      <w:hyperlink r:id="rId9" w:history="1">
        <w:r w:rsidR="00D572DA" w:rsidRPr="00D572DA">
          <w:rPr>
            <w:rStyle w:val="Hyperlink"/>
            <w:rFonts w:cs="Arial"/>
          </w:rPr>
          <w:t>Consolidated Appropriations Act, 2024 (H.R. 4366)</w:t>
        </w:r>
      </w:hyperlink>
      <w:r w:rsidR="00D572DA">
        <w:rPr>
          <w:rFonts w:ascii="Arial" w:hAnsi="Arial" w:cs="Arial"/>
        </w:rPr>
        <w:t xml:space="preserve"> Public Law 118-42</w:t>
      </w:r>
    </w:p>
    <w:p w14:paraId="3FBA6DE4" w14:textId="10D1680B" w:rsidR="00AF74E0" w:rsidRPr="005808E3" w:rsidRDefault="00E13210" w:rsidP="00B407E8">
      <w:pPr>
        <w:pStyle w:val="Heading1"/>
      </w:pPr>
      <w:r w:rsidRPr="005808E3">
        <w:t xml:space="preserve">Revisions </w:t>
      </w:r>
      <w:r w:rsidR="00C35E09" w:rsidRPr="005808E3">
        <w:t xml:space="preserve">to title 8, California Code of Regulations </w:t>
      </w:r>
      <w:r w:rsidR="00AF74E0" w:rsidRPr="005808E3">
        <w:t xml:space="preserve">Adopted </w:t>
      </w:r>
      <w:r w:rsidR="006D38B8" w:rsidRPr="005808E3">
        <w:t>by</w:t>
      </w:r>
      <w:r w:rsidR="00AF74E0" w:rsidRPr="005808E3">
        <w:t xml:space="preserve"> Update Order</w:t>
      </w:r>
      <w:r w:rsidRPr="005808E3">
        <w:t xml:space="preserve"> to Conform to </w:t>
      </w:r>
      <w:r w:rsidR="00BC6FC0" w:rsidRPr="005808E3">
        <w:t xml:space="preserve">Relevant </w:t>
      </w:r>
      <w:r w:rsidRPr="005808E3">
        <w:t>Medicare</w:t>
      </w:r>
      <w:r w:rsidR="00BC6FC0" w:rsidRPr="005808E3">
        <w:t xml:space="preserve"> Changes</w:t>
      </w:r>
      <w:r w:rsidR="00D572DA">
        <w:t xml:space="preserve"> to the Conversion Factors</w:t>
      </w:r>
    </w:p>
    <w:p w14:paraId="60305401" w14:textId="77777777" w:rsidR="00A94366" w:rsidRPr="00A94366" w:rsidRDefault="00A94366" w:rsidP="00A94366">
      <w:pPr>
        <w:spacing w:after="240"/>
        <w:ind w:left="360"/>
        <w:rPr>
          <w:rFonts w:ascii="Arial" w:hAnsi="Arial" w:cs="Arial"/>
          <w:b/>
          <w:bCs/>
        </w:rPr>
      </w:pPr>
      <w:r w:rsidRPr="00A94366">
        <w:rPr>
          <w:rFonts w:ascii="Arial" w:hAnsi="Arial" w:cs="Arial"/>
          <w:b/>
          <w:bCs/>
        </w:rPr>
        <w:t>Consolidated Appropriations Act, 2024 Conversion Factor Increase</w:t>
      </w:r>
    </w:p>
    <w:p w14:paraId="04A519B8" w14:textId="34E0E586" w:rsidR="00EE6F58" w:rsidRDefault="00D75FA3" w:rsidP="00D50A2D">
      <w:pPr>
        <w:spacing w:after="240"/>
        <w:ind w:left="360"/>
        <w:rPr>
          <w:rFonts w:ascii="Arial" w:hAnsi="Arial" w:cs="Arial"/>
        </w:rPr>
      </w:pPr>
      <w:r w:rsidRPr="00B968D5">
        <w:rPr>
          <w:rFonts w:ascii="Arial" w:hAnsi="Arial" w:cs="Arial"/>
          <w:b/>
        </w:rPr>
        <w:t>Title 8 CCR §9789.</w:t>
      </w:r>
      <w:r w:rsidR="00C11960" w:rsidRPr="00B968D5">
        <w:rPr>
          <w:rFonts w:ascii="Arial" w:hAnsi="Arial" w:cs="Arial"/>
          <w:b/>
        </w:rPr>
        <w:t>19</w:t>
      </w:r>
      <w:r w:rsidR="00D50A2D" w:rsidRPr="00D50A2D">
        <w:rPr>
          <w:rFonts w:ascii="Arial" w:hAnsi="Arial" w:cs="Arial"/>
          <w:b/>
        </w:rPr>
        <w:t xml:space="preserve"> </w:t>
      </w:r>
      <w:r w:rsidR="00D50A2D">
        <w:rPr>
          <w:rFonts w:ascii="Arial" w:hAnsi="Arial" w:cs="Arial"/>
          <w:b/>
        </w:rPr>
        <w:t>(</w:t>
      </w:r>
      <w:r w:rsidR="00D50A2D" w:rsidRPr="00B968D5">
        <w:rPr>
          <w:rFonts w:ascii="Arial" w:hAnsi="Arial" w:cs="Arial"/>
          <w:b/>
        </w:rPr>
        <w:t>Update Table</w:t>
      </w:r>
      <w:r w:rsidR="00D50A2D">
        <w:rPr>
          <w:rFonts w:ascii="Arial" w:hAnsi="Arial" w:cs="Arial"/>
          <w:b/>
        </w:rPr>
        <w:t>)</w:t>
      </w:r>
      <w:r w:rsidRPr="00B968D5">
        <w:rPr>
          <w:rFonts w:ascii="Arial" w:hAnsi="Arial" w:cs="Arial"/>
          <w:b/>
        </w:rPr>
        <w:t>:</w:t>
      </w:r>
      <w:r w:rsidR="008203DF" w:rsidRPr="00B968D5">
        <w:rPr>
          <w:rFonts w:ascii="Arial" w:hAnsi="Arial" w:cs="Arial"/>
          <w:b/>
        </w:rPr>
        <w:t xml:space="preserve"> </w:t>
      </w:r>
      <w:r w:rsidR="00D572DA">
        <w:rPr>
          <w:rFonts w:ascii="Arial" w:hAnsi="Arial" w:cs="Arial"/>
        </w:rPr>
        <w:t>S</w:t>
      </w:r>
      <w:r w:rsidR="001A63F4" w:rsidRPr="007329EA">
        <w:rPr>
          <w:rFonts w:ascii="Arial" w:hAnsi="Arial" w:cs="Arial"/>
        </w:rPr>
        <w:t>ubdivision (</w:t>
      </w:r>
      <w:r w:rsidR="00C64F22" w:rsidRPr="007329EA">
        <w:rPr>
          <w:rFonts w:ascii="Arial" w:hAnsi="Arial" w:cs="Arial"/>
        </w:rPr>
        <w:t>k</w:t>
      </w:r>
      <w:r w:rsidR="001A63F4" w:rsidRPr="007329EA">
        <w:rPr>
          <w:rFonts w:ascii="Arial" w:hAnsi="Arial" w:cs="Arial"/>
        </w:rPr>
        <w:t xml:space="preserve">) is </w:t>
      </w:r>
      <w:r w:rsidR="00D572DA">
        <w:rPr>
          <w:rFonts w:ascii="Arial" w:hAnsi="Arial" w:cs="Arial"/>
        </w:rPr>
        <w:t>revised to adopt</w:t>
      </w:r>
      <w:r w:rsidR="00A94366">
        <w:rPr>
          <w:rFonts w:ascii="Arial" w:hAnsi="Arial" w:cs="Arial"/>
        </w:rPr>
        <w:t xml:space="preserve">, </w:t>
      </w:r>
      <w:r w:rsidR="00A94366" w:rsidRPr="00A94366">
        <w:rPr>
          <w:rFonts w:ascii="Arial" w:hAnsi="Arial" w:cs="Arial"/>
          <w:i/>
          <w:iCs/>
        </w:rPr>
        <w:t>inter alia</w:t>
      </w:r>
      <w:r w:rsidR="00A94366">
        <w:rPr>
          <w:rFonts w:ascii="Arial" w:hAnsi="Arial" w:cs="Arial"/>
        </w:rPr>
        <w:t>,</w:t>
      </w:r>
      <w:r w:rsidR="00D572DA">
        <w:rPr>
          <w:rFonts w:ascii="Arial" w:hAnsi="Arial" w:cs="Arial"/>
        </w:rPr>
        <w:t xml:space="preserve"> updated conversion factors for services rendered on or after April 1, 2024</w:t>
      </w:r>
      <w:r w:rsidR="001A63F4" w:rsidRPr="007329EA">
        <w:rPr>
          <w:rFonts w:ascii="Arial" w:hAnsi="Arial" w:cs="Arial"/>
        </w:rPr>
        <w:t>,</w:t>
      </w:r>
      <w:r w:rsidR="00BB2E67">
        <w:rPr>
          <w:rFonts w:ascii="Arial" w:hAnsi="Arial" w:cs="Arial"/>
        </w:rPr>
        <w:t xml:space="preserve"> and to specify that the conversion factors adopted effective 2/15/2024 will continue to be effective for services rendered through March 31, 2024. </w:t>
      </w:r>
      <w:r w:rsidR="001A63F4" w:rsidRPr="007329EA">
        <w:rPr>
          <w:rFonts w:ascii="Arial" w:hAnsi="Arial" w:cs="Arial"/>
        </w:rPr>
        <w:t xml:space="preserve"> </w:t>
      </w:r>
      <w:r w:rsidR="00BB2E67">
        <w:rPr>
          <w:rFonts w:ascii="Arial" w:hAnsi="Arial" w:cs="Arial"/>
        </w:rPr>
        <w:t>The federal</w:t>
      </w:r>
      <w:r w:rsidR="00D572DA">
        <w:rPr>
          <w:rFonts w:ascii="Arial" w:hAnsi="Arial" w:cs="Arial"/>
        </w:rPr>
        <w:t xml:space="preserve"> Consolidated Appropriations Act</w:t>
      </w:r>
      <w:r w:rsidR="00F903D1">
        <w:rPr>
          <w:rFonts w:ascii="Arial" w:hAnsi="Arial" w:cs="Arial"/>
        </w:rPr>
        <w:t>,</w:t>
      </w:r>
      <w:r w:rsidR="00D572DA">
        <w:rPr>
          <w:rFonts w:ascii="Arial" w:hAnsi="Arial" w:cs="Arial"/>
        </w:rPr>
        <w:t xml:space="preserve"> 2024</w:t>
      </w:r>
      <w:r w:rsidRPr="00B968D5">
        <w:rPr>
          <w:rFonts w:ascii="Arial" w:hAnsi="Arial" w:cs="Arial"/>
        </w:rPr>
        <w:t>,</w:t>
      </w:r>
      <w:r w:rsidR="00BB2E67">
        <w:rPr>
          <w:rFonts w:ascii="Arial" w:hAnsi="Arial" w:cs="Arial"/>
        </w:rPr>
        <w:t xml:space="preserve"> adopted a revised multiplier for Medicare Physician Fee Schedule</w:t>
      </w:r>
      <w:r w:rsidR="00F903D1">
        <w:rPr>
          <w:rFonts w:ascii="Arial" w:hAnsi="Arial" w:cs="Arial"/>
        </w:rPr>
        <w:t xml:space="preserve"> CY 2024</w:t>
      </w:r>
      <w:r w:rsidR="00BB2E67">
        <w:rPr>
          <w:rFonts w:ascii="Arial" w:hAnsi="Arial" w:cs="Arial"/>
        </w:rPr>
        <w:t xml:space="preserve"> effective</w:t>
      </w:r>
      <w:r w:rsidR="00A94366">
        <w:rPr>
          <w:rFonts w:ascii="Arial" w:hAnsi="Arial" w:cs="Arial"/>
        </w:rPr>
        <w:t xml:space="preserve"> </w:t>
      </w:r>
      <w:r w:rsidR="00BB2E67">
        <w:rPr>
          <w:rFonts w:ascii="Arial" w:hAnsi="Arial" w:cs="Arial"/>
        </w:rPr>
        <w:t xml:space="preserve">March 9, </w:t>
      </w:r>
      <w:proofErr w:type="gramStart"/>
      <w:r w:rsidR="00BB2E67">
        <w:rPr>
          <w:rFonts w:ascii="Arial" w:hAnsi="Arial" w:cs="Arial"/>
        </w:rPr>
        <w:t>2024</w:t>
      </w:r>
      <w:proofErr w:type="gramEnd"/>
      <w:r w:rsidR="00A94366">
        <w:rPr>
          <w:rFonts w:ascii="Arial" w:hAnsi="Arial" w:cs="Arial"/>
        </w:rPr>
        <w:t xml:space="preserve"> through December 31, 2024</w:t>
      </w:r>
      <w:r w:rsidR="005B3BAB">
        <w:rPr>
          <w:rFonts w:ascii="Arial" w:hAnsi="Arial" w:cs="Arial"/>
        </w:rPr>
        <w:t xml:space="preserve"> to replace the multiplier previously specified </w:t>
      </w:r>
      <w:r w:rsidR="00790104">
        <w:rPr>
          <w:rFonts w:ascii="Arial" w:hAnsi="Arial" w:cs="Arial"/>
        </w:rPr>
        <w:t xml:space="preserve">for CY 2024 </w:t>
      </w:r>
      <w:r w:rsidR="005B3BAB">
        <w:rPr>
          <w:rFonts w:ascii="Arial" w:hAnsi="Arial" w:cs="Arial"/>
        </w:rPr>
        <w:t>in the Consolidated Appropriations Act, 2023.</w:t>
      </w:r>
      <w:r w:rsidR="00BB2E67">
        <w:rPr>
          <w:rFonts w:ascii="Arial" w:hAnsi="Arial" w:cs="Arial"/>
        </w:rPr>
        <w:t xml:space="preserve"> For workers’ compensation the revised conversion factors will be effective for services rendered on or after April 1, 2024, at the same time as the Quarter Two</w:t>
      </w:r>
      <w:r w:rsidR="00DD71FB">
        <w:rPr>
          <w:rFonts w:ascii="Arial" w:hAnsi="Arial" w:cs="Arial"/>
        </w:rPr>
        <w:t xml:space="preserve"> updates</w:t>
      </w:r>
      <w:r w:rsidR="00BB2E67">
        <w:rPr>
          <w:rFonts w:ascii="Arial" w:hAnsi="Arial" w:cs="Arial"/>
        </w:rPr>
        <w:t xml:space="preserve">. </w:t>
      </w:r>
      <w:r w:rsidR="00F903D1">
        <w:rPr>
          <w:rFonts w:ascii="Arial" w:hAnsi="Arial" w:cs="Arial"/>
        </w:rPr>
        <w:t>Because</w:t>
      </w:r>
      <w:r w:rsidR="00BB2E67">
        <w:rPr>
          <w:rFonts w:ascii="Arial" w:hAnsi="Arial" w:cs="Arial"/>
        </w:rPr>
        <w:t xml:space="preserve"> workers’ compensation is not a single payer system, and has multiple payers that must adjust their systems, the Administrative Director has determined that the conversion factor changes will be effective for services rendered on or after April 1, 2024</w:t>
      </w:r>
      <w:r w:rsidR="00DD71FB">
        <w:rPr>
          <w:rFonts w:ascii="Arial" w:hAnsi="Arial" w:cs="Arial"/>
        </w:rPr>
        <w:t>.</w:t>
      </w:r>
    </w:p>
    <w:p w14:paraId="385DB713" w14:textId="77777777" w:rsidR="00A94366" w:rsidRPr="00A94366" w:rsidRDefault="00A94366" w:rsidP="00A94366">
      <w:pPr>
        <w:spacing w:after="240"/>
        <w:ind w:left="360"/>
        <w:rPr>
          <w:rFonts w:ascii="Arial" w:hAnsi="Arial" w:cs="Arial"/>
          <w:b/>
        </w:rPr>
      </w:pPr>
      <w:bookmarkStart w:id="0" w:name="_Hlk162027144"/>
      <w:r w:rsidRPr="00A94366">
        <w:rPr>
          <w:rFonts w:ascii="Arial" w:hAnsi="Arial" w:cs="Arial"/>
          <w:b/>
        </w:rPr>
        <w:t>Conversion Factor for Services Other than Anesthesia</w:t>
      </w:r>
    </w:p>
    <w:p w14:paraId="7E451AB5" w14:textId="1A2B0B6E" w:rsidR="00A94366" w:rsidRPr="00A94366" w:rsidRDefault="00A94366" w:rsidP="00A94366">
      <w:pPr>
        <w:spacing w:after="240"/>
        <w:ind w:left="360"/>
        <w:rPr>
          <w:rFonts w:ascii="Arial" w:hAnsi="Arial" w:cs="Arial"/>
          <w:bCs/>
        </w:rPr>
      </w:pPr>
      <w:r>
        <w:rPr>
          <w:rFonts w:ascii="Arial" w:hAnsi="Arial" w:cs="Arial"/>
          <w:bCs/>
        </w:rPr>
        <w:t xml:space="preserve">The conversion factor for services other than anesthesia </w:t>
      </w:r>
      <w:r w:rsidR="006C2FE2">
        <w:rPr>
          <w:rFonts w:ascii="Arial" w:hAnsi="Arial" w:cs="Arial"/>
          <w:bCs/>
        </w:rPr>
        <w:t>is increased from $47.72 to $48.51 for services rendered on or after April 1, 2024.</w:t>
      </w:r>
    </w:p>
    <w:p w14:paraId="3C1E848B" w14:textId="77777777" w:rsidR="00A94366" w:rsidRPr="00A94366" w:rsidRDefault="00A94366" w:rsidP="00A94366">
      <w:pPr>
        <w:spacing w:after="240"/>
        <w:ind w:left="360"/>
        <w:rPr>
          <w:rFonts w:ascii="Arial" w:hAnsi="Arial" w:cs="Arial"/>
          <w:bCs/>
        </w:rPr>
      </w:pPr>
      <w:r w:rsidRPr="00A94366">
        <w:rPr>
          <w:rFonts w:ascii="Arial" w:hAnsi="Arial" w:cs="Arial"/>
          <w:bCs/>
        </w:rPr>
        <w:t xml:space="preserve">The Centers for Medicare and Medicaid Services (CMS) has announced revision to the Medicare Physician Fee Schedule to implement the provisions </w:t>
      </w:r>
      <w:r w:rsidRPr="00A94366">
        <w:rPr>
          <w:rFonts w:ascii="Arial" w:hAnsi="Arial" w:cs="Arial"/>
          <w:bCs/>
        </w:rPr>
        <w:lastRenderedPageBreak/>
        <w:t>of the Consolidated Appropriations Act, 2024 (a federal budget act). CMS states:</w:t>
      </w:r>
    </w:p>
    <w:p w14:paraId="79CFACD2" w14:textId="39A97DCB" w:rsidR="00A94366" w:rsidRPr="00A94366" w:rsidRDefault="00A94366" w:rsidP="00A94366">
      <w:pPr>
        <w:spacing w:after="240"/>
        <w:ind w:left="720"/>
        <w:rPr>
          <w:rFonts w:ascii="Arial" w:hAnsi="Arial" w:cs="Arial"/>
          <w:bCs/>
        </w:rPr>
      </w:pPr>
      <w:r w:rsidRPr="00A94366">
        <w:rPr>
          <w:rFonts w:ascii="Arial" w:hAnsi="Arial" w:cs="Arial"/>
          <w:bCs/>
        </w:rPr>
        <w:t xml:space="preserve">“On March 9, 2024, President Biden signed the Consolidated Appropriations Act, 2024, which included a 2.93 percent update to the CY 2024 Physician Fee Schedule (PFS) Conversion Factor (CF) for dates of service March 9 through December 31, 2024. This replaces the 1.25 percent update provided by the Consolidated Appropriations Act, 2023, therefore the CY 2024 CF for dates of service January 1 through March 8, </w:t>
      </w:r>
      <w:proofErr w:type="gramStart"/>
      <w:r w:rsidRPr="00A94366">
        <w:rPr>
          <w:rFonts w:ascii="Arial" w:hAnsi="Arial" w:cs="Arial"/>
          <w:bCs/>
        </w:rPr>
        <w:t>2024</w:t>
      </w:r>
      <w:proofErr w:type="gramEnd"/>
      <w:r w:rsidRPr="00A94366">
        <w:rPr>
          <w:rFonts w:ascii="Arial" w:hAnsi="Arial" w:cs="Arial"/>
          <w:bCs/>
        </w:rPr>
        <w:t xml:space="preserve"> is $32.74. CMS has implemented the new legislation by adjusting the CY 2023 CF of $33.07 by 2.93 percent and the budget neutrality adjustment for a CY 2024 CF of $33.29 for dates of service March 9 through December 31.”</w:t>
      </w:r>
      <w:r>
        <w:rPr>
          <w:rFonts w:ascii="Arial" w:hAnsi="Arial" w:cs="Arial"/>
          <w:bCs/>
        </w:rPr>
        <w:t xml:space="preserve"> </w:t>
      </w:r>
      <w:hyperlink r:id="rId10" w:history="1">
        <w:r w:rsidRPr="00A94366">
          <w:rPr>
            <w:rStyle w:val="Hyperlink"/>
            <w:rFonts w:cs="Arial"/>
            <w:bCs/>
          </w:rPr>
          <w:t>CMS website</w:t>
        </w:r>
      </w:hyperlink>
      <w:r>
        <w:rPr>
          <w:rFonts w:ascii="Arial" w:hAnsi="Arial" w:cs="Arial"/>
          <w:bCs/>
        </w:rPr>
        <w:t>, accessed 3/22/2024.</w:t>
      </w:r>
    </w:p>
    <w:p w14:paraId="2F25FCCF" w14:textId="0435040A" w:rsidR="00A94366" w:rsidRPr="00A94366" w:rsidRDefault="00A94366" w:rsidP="00A94366">
      <w:pPr>
        <w:spacing w:after="240"/>
        <w:ind w:left="360"/>
        <w:rPr>
          <w:rFonts w:ascii="Arial" w:hAnsi="Arial" w:cs="Arial"/>
          <w:bCs/>
        </w:rPr>
      </w:pPr>
      <w:r w:rsidRPr="00A94366">
        <w:rPr>
          <w:rFonts w:ascii="Arial" w:hAnsi="Arial" w:cs="Arial"/>
          <w:bCs/>
        </w:rPr>
        <w:t xml:space="preserve">The Administrative Director is modifying the conversion factor using the CAA, 2024 revised multiplier for workers’ compensation services rendered on or after April 1, 2024. The factors utilized in the annual </w:t>
      </w:r>
      <w:r w:rsidR="006C2FE2">
        <w:rPr>
          <w:rFonts w:ascii="Arial" w:hAnsi="Arial" w:cs="Arial"/>
          <w:bCs/>
        </w:rPr>
        <w:t xml:space="preserve">conversion factor </w:t>
      </w:r>
      <w:r w:rsidRPr="00A94366">
        <w:rPr>
          <w:rFonts w:ascii="Arial" w:hAnsi="Arial" w:cs="Arial"/>
          <w:bCs/>
        </w:rPr>
        <w:t xml:space="preserve">update effective 2/15/2024 remain the same, except that a 2.93% multiplier is used </w:t>
      </w:r>
      <w:r>
        <w:rPr>
          <w:rFonts w:ascii="Arial" w:hAnsi="Arial" w:cs="Arial"/>
          <w:bCs/>
        </w:rPr>
        <w:t xml:space="preserve">in calculating the updated conversion factor </w:t>
      </w:r>
      <w:r w:rsidRPr="00A94366">
        <w:rPr>
          <w:rFonts w:ascii="Arial" w:hAnsi="Arial" w:cs="Arial"/>
          <w:bCs/>
        </w:rPr>
        <w:t>instead of the original 1.25% multiplier</w:t>
      </w:r>
      <w:r w:rsidR="005B3BAB">
        <w:rPr>
          <w:rFonts w:ascii="Arial" w:hAnsi="Arial" w:cs="Arial"/>
          <w:bCs/>
        </w:rPr>
        <w:t>,</w:t>
      </w:r>
      <w:r w:rsidRPr="00A94366">
        <w:rPr>
          <w:rFonts w:ascii="Arial" w:hAnsi="Arial" w:cs="Arial"/>
          <w:bCs/>
        </w:rPr>
        <w:t xml:space="preserve"> for services on or after 04/01/2024. (See Attachment to Administrative Director Order dated January 19, 2024, Explanation of Changes for details on the factors</w:t>
      </w:r>
      <w:r w:rsidR="005B3BAB">
        <w:rPr>
          <w:rFonts w:ascii="Arial" w:hAnsi="Arial" w:cs="Arial"/>
          <w:bCs/>
        </w:rPr>
        <w:t xml:space="preserve"> adopted pursuant to the </w:t>
      </w:r>
      <w:r w:rsidR="005B3BAB" w:rsidRPr="004551EA">
        <w:rPr>
          <w:rFonts w:ascii="Arial" w:hAnsi="Arial" w:cs="Arial"/>
        </w:rPr>
        <w:t>CY 2024 Medicare Physician Fee Schedule Final Rule, CMS-1784-F</w:t>
      </w:r>
      <w:r w:rsidRPr="00A94366">
        <w:rPr>
          <w:rFonts w:ascii="Arial" w:hAnsi="Arial" w:cs="Arial"/>
          <w:bCs/>
        </w:rPr>
        <w:t>.)</w:t>
      </w:r>
    </w:p>
    <w:p w14:paraId="5F60693D" w14:textId="77777777" w:rsidR="00A94366" w:rsidRPr="00A94366" w:rsidRDefault="00A94366" w:rsidP="00A94366">
      <w:pPr>
        <w:spacing w:after="240"/>
        <w:ind w:left="360"/>
        <w:rPr>
          <w:rFonts w:ascii="Arial" w:hAnsi="Arial" w:cs="Arial"/>
          <w:bCs/>
        </w:rPr>
      </w:pPr>
      <w:r w:rsidRPr="00A94366">
        <w:rPr>
          <w:rFonts w:ascii="Arial" w:hAnsi="Arial" w:cs="Arial"/>
          <w:bCs/>
        </w:rPr>
        <w:t xml:space="preserve">For California workers’ compensation, the calculation of the Other Services Conversion Factor for services effective on or after 04/01/2024 includes relevant adjustments to account for: </w:t>
      </w:r>
    </w:p>
    <w:p w14:paraId="10B23369" w14:textId="77777777" w:rsidR="00A94366" w:rsidRPr="00A94366" w:rsidRDefault="00A94366" w:rsidP="00A94366">
      <w:pPr>
        <w:numPr>
          <w:ilvl w:val="0"/>
          <w:numId w:val="40"/>
        </w:numPr>
        <w:spacing w:after="240"/>
        <w:rPr>
          <w:rFonts w:ascii="Arial" w:hAnsi="Arial" w:cs="Arial"/>
          <w:bCs/>
        </w:rPr>
      </w:pPr>
      <w:r w:rsidRPr="00A94366">
        <w:rPr>
          <w:rFonts w:ascii="Arial" w:hAnsi="Arial" w:cs="Arial"/>
          <w:bCs/>
        </w:rPr>
        <w:t xml:space="preserve">Expiration of the one-year 2.5% increase that was set forth for Medicare CY 2023 in the Consolidated Appropriations Act, 2023 </w:t>
      </w:r>
    </w:p>
    <w:p w14:paraId="1F6B0C5A" w14:textId="3BC23F53" w:rsidR="00A94366" w:rsidRPr="00A94366" w:rsidRDefault="00A94366" w:rsidP="00A94366">
      <w:pPr>
        <w:numPr>
          <w:ilvl w:val="0"/>
          <w:numId w:val="40"/>
        </w:numPr>
        <w:spacing w:after="240"/>
        <w:rPr>
          <w:rFonts w:ascii="Arial" w:hAnsi="Arial" w:cs="Arial"/>
          <w:bCs/>
        </w:rPr>
      </w:pPr>
      <w:r w:rsidRPr="00A94366">
        <w:rPr>
          <w:rFonts w:ascii="Arial" w:hAnsi="Arial" w:cs="Arial"/>
          <w:bCs/>
        </w:rPr>
        <w:t xml:space="preserve">Consolidated Appropriations Act, 2024 temporary 2.93% (1.0293) increase [which replaces the 1.25% (1.025) multiplier previously adopted by CAA, 2023 for </w:t>
      </w:r>
      <w:r w:rsidR="005B3BAB">
        <w:rPr>
          <w:rFonts w:ascii="Arial" w:hAnsi="Arial" w:cs="Arial"/>
          <w:bCs/>
        </w:rPr>
        <w:t xml:space="preserve">CY </w:t>
      </w:r>
      <w:r w:rsidRPr="00A94366">
        <w:rPr>
          <w:rFonts w:ascii="Arial" w:hAnsi="Arial" w:cs="Arial"/>
          <w:bCs/>
        </w:rPr>
        <w:t>2024]</w:t>
      </w:r>
    </w:p>
    <w:p w14:paraId="68C59DED" w14:textId="77777777" w:rsidR="00A94366" w:rsidRPr="00A94366" w:rsidRDefault="00A94366" w:rsidP="00A94366">
      <w:pPr>
        <w:numPr>
          <w:ilvl w:val="0"/>
          <w:numId w:val="40"/>
        </w:numPr>
        <w:spacing w:after="240"/>
        <w:rPr>
          <w:rFonts w:ascii="Arial" w:hAnsi="Arial" w:cs="Arial"/>
          <w:bCs/>
        </w:rPr>
      </w:pPr>
      <w:r w:rsidRPr="00A94366">
        <w:rPr>
          <w:rFonts w:ascii="Arial" w:hAnsi="Arial" w:cs="Arial"/>
          <w:bCs/>
        </w:rPr>
        <w:t>CY 2024 RVU budget neutrality adjustment [-2.18 percent (0.9782)]</w:t>
      </w:r>
    </w:p>
    <w:p w14:paraId="00488703" w14:textId="77777777" w:rsidR="00A94366" w:rsidRPr="00A94366" w:rsidRDefault="00A94366" w:rsidP="00A94366">
      <w:pPr>
        <w:numPr>
          <w:ilvl w:val="0"/>
          <w:numId w:val="40"/>
        </w:numPr>
        <w:spacing w:after="240"/>
        <w:rPr>
          <w:rFonts w:ascii="Arial" w:hAnsi="Arial" w:cs="Arial"/>
          <w:bCs/>
        </w:rPr>
      </w:pPr>
      <w:r w:rsidRPr="00A94366">
        <w:rPr>
          <w:rFonts w:ascii="Arial" w:hAnsi="Arial" w:cs="Arial"/>
          <w:bCs/>
        </w:rPr>
        <w:t>CY 2024 Medicare Economic Index adjustment [4.6 percent increase (1.046)]</w:t>
      </w:r>
    </w:p>
    <w:p w14:paraId="79701F81" w14:textId="77777777" w:rsidR="00A94366" w:rsidRPr="00A94366" w:rsidRDefault="00A94366" w:rsidP="00A94366">
      <w:pPr>
        <w:spacing w:after="240"/>
        <w:ind w:left="360"/>
        <w:rPr>
          <w:rFonts w:ascii="Arial" w:hAnsi="Arial" w:cs="Arial"/>
          <w:bCs/>
        </w:rPr>
      </w:pPr>
      <w:r w:rsidRPr="00A94366">
        <w:rPr>
          <w:rFonts w:ascii="Arial" w:hAnsi="Arial" w:cs="Arial"/>
          <w:bCs/>
        </w:rPr>
        <w:t xml:space="preserve">The workers’ compensation CY 2023 CF of $47.21, without the temporary 1-year 2.50 percent payment increase provided by the Consolidated Appropriations Act, 2023 was $46.06. (This is calculated as follows: $45.0954 (2022 CF without Protecting Medicare and American Farmers from Sequester Cuts Act 1-year 3% increase) * 1.038 (2023 MEI) * 0.9840 (2023 RVU Budget Neutrality Adjustment =$46.06.) (See the Explanation of Changes attached to </w:t>
      </w:r>
      <w:r w:rsidRPr="00A94366">
        <w:rPr>
          <w:rFonts w:ascii="Arial" w:hAnsi="Arial" w:cs="Arial"/>
          <w:bCs/>
        </w:rPr>
        <w:lastRenderedPageBreak/>
        <w:t>the Administrative Director update order dated January 30, 2023, page 11, for Physician Fee Schedule 2023 Annual update.)</w:t>
      </w:r>
    </w:p>
    <w:p w14:paraId="5D759884" w14:textId="77777777" w:rsidR="00A94366" w:rsidRPr="00A94366" w:rsidRDefault="00A94366" w:rsidP="00A94366">
      <w:pPr>
        <w:spacing w:after="240"/>
        <w:ind w:left="360"/>
        <w:rPr>
          <w:rFonts w:ascii="Arial" w:hAnsi="Arial" w:cs="Arial"/>
          <w:bCs/>
        </w:rPr>
      </w:pPr>
      <w:r w:rsidRPr="00A94366">
        <w:rPr>
          <w:rFonts w:ascii="Arial" w:hAnsi="Arial" w:cs="Arial"/>
          <w:bCs/>
        </w:rPr>
        <w:t>The workers’ compensation 2024 Conversion Factor (CF) for Services Other than Anesthesia as revised to adopt the fee increase set forth in the Consolidated Appropriations Act, 2024, is calculated as follows:</w:t>
      </w:r>
    </w:p>
    <w:p w14:paraId="0368E389" w14:textId="5003EB98" w:rsidR="00A94366" w:rsidRPr="00A94366" w:rsidRDefault="00A94366" w:rsidP="00A94366">
      <w:pPr>
        <w:spacing w:after="240"/>
        <w:ind w:left="360"/>
        <w:rPr>
          <w:rFonts w:ascii="Arial" w:hAnsi="Arial" w:cs="Arial"/>
          <w:bCs/>
        </w:rPr>
      </w:pPr>
      <w:r w:rsidRPr="00A94366">
        <w:rPr>
          <w:rFonts w:ascii="Arial" w:hAnsi="Arial" w:cs="Arial"/>
          <w:bCs/>
        </w:rPr>
        <w:t xml:space="preserve">$46.06 (2023 CF without </w:t>
      </w:r>
      <w:r w:rsidR="00790104">
        <w:rPr>
          <w:rFonts w:ascii="Arial" w:hAnsi="Arial" w:cs="Arial"/>
          <w:bCs/>
        </w:rPr>
        <w:t xml:space="preserve">expired </w:t>
      </w:r>
      <w:r w:rsidRPr="00A94366">
        <w:rPr>
          <w:rFonts w:ascii="Arial" w:hAnsi="Arial" w:cs="Arial"/>
          <w:bCs/>
        </w:rPr>
        <w:t>1-year 2.5% increase) * 1.046 (2024 MEI) * 0.9782 (2024 RVU Budget Neutrality Adjustment) * 1.0293 (CAA, 2024, revised temporary increase for 2024) = $ 48.5093</w:t>
      </w:r>
    </w:p>
    <w:bookmarkEnd w:id="0"/>
    <w:p w14:paraId="50587B16" w14:textId="012BC3D9" w:rsidR="00C4358F" w:rsidRPr="00A94366" w:rsidRDefault="00C4358F" w:rsidP="00C4358F">
      <w:pPr>
        <w:spacing w:after="240"/>
        <w:ind w:left="360"/>
        <w:rPr>
          <w:rFonts w:ascii="Arial" w:hAnsi="Arial" w:cs="Arial"/>
          <w:b/>
        </w:rPr>
      </w:pPr>
      <w:r w:rsidRPr="00A94366">
        <w:rPr>
          <w:rFonts w:ascii="Arial" w:hAnsi="Arial" w:cs="Arial"/>
          <w:b/>
        </w:rPr>
        <w:t>Conversion Factor for Anesthesia</w:t>
      </w:r>
    </w:p>
    <w:p w14:paraId="2745C7D8" w14:textId="6F16094C" w:rsidR="00DC5894" w:rsidRPr="00A94366" w:rsidRDefault="00DC5894" w:rsidP="00DC5894">
      <w:pPr>
        <w:spacing w:after="240"/>
        <w:ind w:left="360"/>
        <w:rPr>
          <w:rFonts w:ascii="Arial" w:hAnsi="Arial" w:cs="Arial"/>
          <w:bCs/>
        </w:rPr>
      </w:pPr>
      <w:r>
        <w:rPr>
          <w:rFonts w:ascii="Arial" w:hAnsi="Arial" w:cs="Arial"/>
          <w:bCs/>
        </w:rPr>
        <w:t>The conversion factor for anesthesia services before adjustment by the Geographic Practice Cost Index (GPCI) for each locality is increased from $29.0948 to $29.5775 for services rendered on or after April 1, 2024.</w:t>
      </w:r>
    </w:p>
    <w:p w14:paraId="57CDE86B" w14:textId="77777777" w:rsidR="001C0D3F" w:rsidRPr="001C0D3F" w:rsidRDefault="001C0D3F" w:rsidP="001C0D3F">
      <w:pPr>
        <w:spacing w:after="240"/>
        <w:ind w:left="360"/>
        <w:rPr>
          <w:rFonts w:ascii="Arial" w:hAnsi="Arial" w:cs="Arial"/>
          <w:bCs/>
        </w:rPr>
      </w:pPr>
      <w:r w:rsidRPr="001C0D3F">
        <w:rPr>
          <w:rFonts w:ascii="Arial" w:hAnsi="Arial" w:cs="Arial"/>
          <w:bCs/>
        </w:rPr>
        <w:t>The Centers for Medicare and Medicaid Services (CMS) has announced revision to the Medicare Physician Fee Schedule to implement the provisions of the Consolidated Appropriations Act, 2024 (a federal budget act). CMS states:</w:t>
      </w:r>
    </w:p>
    <w:p w14:paraId="115A2E63" w14:textId="77777777" w:rsidR="001C0D3F" w:rsidRPr="001C0D3F" w:rsidRDefault="001C0D3F" w:rsidP="001C0D3F">
      <w:pPr>
        <w:spacing w:after="240"/>
        <w:ind w:left="720"/>
        <w:rPr>
          <w:rFonts w:ascii="Arial" w:hAnsi="Arial" w:cs="Arial"/>
          <w:bCs/>
        </w:rPr>
      </w:pPr>
      <w:r w:rsidRPr="001C0D3F">
        <w:rPr>
          <w:rFonts w:ascii="Arial" w:hAnsi="Arial" w:cs="Arial"/>
          <w:bCs/>
        </w:rPr>
        <w:t xml:space="preserve">“On March 9, 2024, President Biden signed the Consolidated Appropriations Act, 2024, which included a 2.93 percent update to the CY 2024 Physician Fee Schedule (PFS) Conversion Factor (CF) for dates of service March 9 through December 31, 2024. This replaces the 1.25 percent update provided by the Consolidated Appropriations Act, 2023, therefore the CY 2024 CF for dates of service January 1 through March 8, </w:t>
      </w:r>
      <w:proofErr w:type="gramStart"/>
      <w:r w:rsidRPr="001C0D3F">
        <w:rPr>
          <w:rFonts w:ascii="Arial" w:hAnsi="Arial" w:cs="Arial"/>
          <w:bCs/>
        </w:rPr>
        <w:t>2024</w:t>
      </w:r>
      <w:proofErr w:type="gramEnd"/>
      <w:r w:rsidRPr="001C0D3F">
        <w:rPr>
          <w:rFonts w:ascii="Arial" w:hAnsi="Arial" w:cs="Arial"/>
          <w:bCs/>
        </w:rPr>
        <w:t xml:space="preserve"> is $32.74. CMS has implemented the new legislation by adjusting the CY 2023 CF of $33.07 by 2.93 percent and the budget neutrality adjustment for a CY 2024 CF of $33.29 for dates of service March 9 through December 31.”</w:t>
      </w:r>
    </w:p>
    <w:p w14:paraId="0E6CB86B" w14:textId="1718CE4D" w:rsidR="001C0D3F" w:rsidRPr="001C0D3F" w:rsidRDefault="001C0D3F" w:rsidP="001C0D3F">
      <w:pPr>
        <w:spacing w:after="240"/>
        <w:ind w:left="360"/>
        <w:rPr>
          <w:rFonts w:ascii="Arial" w:hAnsi="Arial" w:cs="Arial"/>
          <w:bCs/>
        </w:rPr>
      </w:pPr>
      <w:r w:rsidRPr="001C0D3F">
        <w:rPr>
          <w:rFonts w:ascii="Arial" w:hAnsi="Arial" w:cs="Arial"/>
          <w:bCs/>
        </w:rPr>
        <w:t xml:space="preserve">The Administrative Director is modifying the conversion factor using the CAA, 2024 revised multiplier for workers’ compensation services rendered on or after April 1, 2024. The factors utilized in the </w:t>
      </w:r>
      <w:r>
        <w:rPr>
          <w:rFonts w:ascii="Arial" w:hAnsi="Arial" w:cs="Arial"/>
          <w:bCs/>
        </w:rPr>
        <w:t xml:space="preserve">conversion factor </w:t>
      </w:r>
      <w:r w:rsidRPr="001C0D3F">
        <w:rPr>
          <w:rFonts w:ascii="Arial" w:hAnsi="Arial" w:cs="Arial"/>
          <w:bCs/>
        </w:rPr>
        <w:t xml:space="preserve">annual update effective 2/15/2024 remain the same, except that a 2.93% multiplier is used </w:t>
      </w:r>
      <w:r>
        <w:rPr>
          <w:rFonts w:ascii="Arial" w:hAnsi="Arial" w:cs="Arial"/>
          <w:bCs/>
        </w:rPr>
        <w:t xml:space="preserve">in the formula </w:t>
      </w:r>
      <w:r w:rsidR="00EF602C">
        <w:rPr>
          <w:rFonts w:ascii="Arial" w:hAnsi="Arial" w:cs="Arial"/>
          <w:bCs/>
        </w:rPr>
        <w:t>(</w:t>
      </w:r>
      <w:r w:rsidRPr="001C0D3F">
        <w:rPr>
          <w:rFonts w:ascii="Arial" w:hAnsi="Arial" w:cs="Arial"/>
          <w:bCs/>
        </w:rPr>
        <w:t>instead of the original 1.25% multiplier</w:t>
      </w:r>
      <w:r w:rsidR="00EF602C">
        <w:rPr>
          <w:rFonts w:ascii="Arial" w:hAnsi="Arial" w:cs="Arial"/>
          <w:bCs/>
        </w:rPr>
        <w:t>)</w:t>
      </w:r>
      <w:r w:rsidRPr="001C0D3F">
        <w:rPr>
          <w:rFonts w:ascii="Arial" w:hAnsi="Arial" w:cs="Arial"/>
          <w:bCs/>
        </w:rPr>
        <w:t xml:space="preserve"> for services on or after 04/01/2024. (See Attachment to Administrative Director Order dated January 19, 2024, Explanation of Changes for details on the factors</w:t>
      </w:r>
      <w:r w:rsidR="00EF602C">
        <w:rPr>
          <w:rFonts w:ascii="Arial" w:hAnsi="Arial" w:cs="Arial"/>
          <w:bCs/>
        </w:rPr>
        <w:t xml:space="preserve"> adopted pursuant to the </w:t>
      </w:r>
      <w:r w:rsidR="00EF602C" w:rsidRPr="004551EA">
        <w:rPr>
          <w:rFonts w:ascii="Arial" w:hAnsi="Arial" w:cs="Arial"/>
        </w:rPr>
        <w:t>CY 2024 Medicare Physician Fee Schedule Final Rule, CMS-1784-F</w:t>
      </w:r>
      <w:r w:rsidRPr="001C0D3F">
        <w:rPr>
          <w:rFonts w:ascii="Arial" w:hAnsi="Arial" w:cs="Arial"/>
          <w:bCs/>
        </w:rPr>
        <w:t>.)</w:t>
      </w:r>
    </w:p>
    <w:p w14:paraId="18A9A05E" w14:textId="77777777" w:rsidR="001C0D3F" w:rsidRPr="001C0D3F" w:rsidRDefault="001C0D3F" w:rsidP="001C0D3F">
      <w:pPr>
        <w:spacing w:after="240"/>
        <w:ind w:left="360"/>
        <w:rPr>
          <w:rFonts w:ascii="Arial" w:hAnsi="Arial" w:cs="Arial"/>
          <w:bCs/>
        </w:rPr>
      </w:pPr>
      <w:r w:rsidRPr="001C0D3F">
        <w:rPr>
          <w:rFonts w:ascii="Arial" w:hAnsi="Arial" w:cs="Arial"/>
          <w:bCs/>
        </w:rPr>
        <w:t>For workers’ compensation, the Anesthesia Services Conversion Factor (before Geographic Practice Cost Index adjustments) includes the relevant Medicare adjustments to account for:</w:t>
      </w:r>
    </w:p>
    <w:p w14:paraId="3E79F5EA" w14:textId="77777777" w:rsidR="001C0D3F" w:rsidRPr="001C0D3F" w:rsidRDefault="001C0D3F" w:rsidP="001C0D3F">
      <w:pPr>
        <w:numPr>
          <w:ilvl w:val="0"/>
          <w:numId w:val="40"/>
        </w:numPr>
        <w:spacing w:after="240"/>
        <w:rPr>
          <w:rFonts w:ascii="Arial" w:hAnsi="Arial" w:cs="Arial"/>
          <w:bCs/>
        </w:rPr>
      </w:pPr>
      <w:r w:rsidRPr="001C0D3F">
        <w:rPr>
          <w:rFonts w:ascii="Arial" w:hAnsi="Arial" w:cs="Arial"/>
          <w:bCs/>
        </w:rPr>
        <w:lastRenderedPageBreak/>
        <w:t>Expiration of the one-year 2.50% increase for 2023 that was set forth in the Consolidated Appropriations Act, 2023</w:t>
      </w:r>
    </w:p>
    <w:p w14:paraId="67DBDB96" w14:textId="77777777" w:rsidR="001C0D3F" w:rsidRPr="001C0D3F" w:rsidRDefault="001C0D3F" w:rsidP="001C0D3F">
      <w:pPr>
        <w:numPr>
          <w:ilvl w:val="0"/>
          <w:numId w:val="40"/>
        </w:numPr>
        <w:spacing w:after="240"/>
        <w:rPr>
          <w:rFonts w:ascii="Arial" w:hAnsi="Arial" w:cs="Arial"/>
          <w:bCs/>
        </w:rPr>
      </w:pPr>
      <w:r w:rsidRPr="001C0D3F">
        <w:rPr>
          <w:rFonts w:ascii="Arial" w:hAnsi="Arial" w:cs="Arial"/>
          <w:bCs/>
        </w:rPr>
        <w:t>CY 2024 RVU budget neutrality adjustment [-2.18 percent (0.9782)]</w:t>
      </w:r>
    </w:p>
    <w:p w14:paraId="7883F191" w14:textId="77777777" w:rsidR="001C0D3F" w:rsidRPr="001C0D3F" w:rsidRDefault="001C0D3F" w:rsidP="001C0D3F">
      <w:pPr>
        <w:numPr>
          <w:ilvl w:val="0"/>
          <w:numId w:val="40"/>
        </w:numPr>
        <w:spacing w:after="240"/>
        <w:rPr>
          <w:rFonts w:ascii="Arial" w:hAnsi="Arial" w:cs="Arial"/>
          <w:bCs/>
        </w:rPr>
      </w:pPr>
      <w:r w:rsidRPr="001C0D3F">
        <w:rPr>
          <w:rFonts w:ascii="Arial" w:hAnsi="Arial" w:cs="Arial"/>
          <w:bCs/>
        </w:rPr>
        <w:t>CY 2024 Medicare Economic Index adjustment [4.6 percent increase (1.046)]</w:t>
      </w:r>
    </w:p>
    <w:p w14:paraId="78D72CFA" w14:textId="77777777" w:rsidR="001C0D3F" w:rsidRPr="001C0D3F" w:rsidRDefault="001C0D3F" w:rsidP="001C0D3F">
      <w:pPr>
        <w:numPr>
          <w:ilvl w:val="0"/>
          <w:numId w:val="40"/>
        </w:numPr>
        <w:spacing w:after="240"/>
        <w:rPr>
          <w:rFonts w:ascii="Arial" w:hAnsi="Arial" w:cs="Arial"/>
          <w:bCs/>
        </w:rPr>
      </w:pPr>
      <w:r w:rsidRPr="001C0D3F">
        <w:rPr>
          <w:rFonts w:ascii="Arial" w:hAnsi="Arial" w:cs="Arial"/>
          <w:bCs/>
        </w:rPr>
        <w:t>CY 2024 Anesthesia Fee Schedule Practice Expense and Malpractice Adjustment [0.11 percent (1.0011) increase]</w:t>
      </w:r>
    </w:p>
    <w:p w14:paraId="71E562D6" w14:textId="77777777" w:rsidR="001C0D3F" w:rsidRPr="001C0D3F" w:rsidRDefault="001C0D3F" w:rsidP="001C0D3F">
      <w:pPr>
        <w:numPr>
          <w:ilvl w:val="0"/>
          <w:numId w:val="40"/>
        </w:numPr>
        <w:spacing w:after="240"/>
        <w:rPr>
          <w:rFonts w:ascii="Arial" w:hAnsi="Arial" w:cs="Arial"/>
          <w:bCs/>
        </w:rPr>
      </w:pPr>
      <w:r w:rsidRPr="001C0D3F">
        <w:rPr>
          <w:rFonts w:ascii="Arial" w:hAnsi="Arial" w:cs="Arial"/>
          <w:bCs/>
        </w:rPr>
        <w:t>Consolidated Appropriations Act, 2024 temporary 2.93% (1.0293) increase [which replaces the 1.25% (1.025) multiplier previously adopted by CAA, 2023 for 2024]</w:t>
      </w:r>
    </w:p>
    <w:p w14:paraId="080D9ADD" w14:textId="1B5182FD" w:rsidR="001C0D3F" w:rsidRPr="001C0D3F" w:rsidRDefault="001C0D3F" w:rsidP="001C0D3F">
      <w:pPr>
        <w:spacing w:after="240"/>
        <w:ind w:left="360"/>
        <w:rPr>
          <w:rFonts w:ascii="Arial" w:hAnsi="Arial" w:cs="Arial"/>
          <w:bCs/>
        </w:rPr>
      </w:pPr>
      <w:r w:rsidRPr="001C0D3F">
        <w:rPr>
          <w:rFonts w:ascii="Arial" w:hAnsi="Arial" w:cs="Arial"/>
          <w:bCs/>
        </w:rPr>
        <w:t xml:space="preserve">The workers’ compensation CY 2023 anesthesia CF without the temporary one-year 2.50 percent payment increase provided by the Consolidated Appropriations Act, 2023 for </w:t>
      </w:r>
      <w:r w:rsidR="005D68A4">
        <w:rPr>
          <w:rFonts w:ascii="Arial" w:hAnsi="Arial" w:cs="Arial"/>
          <w:bCs/>
        </w:rPr>
        <w:t xml:space="preserve">CY </w:t>
      </w:r>
      <w:r w:rsidRPr="001C0D3F">
        <w:rPr>
          <w:rFonts w:ascii="Arial" w:hAnsi="Arial" w:cs="Arial"/>
          <w:bCs/>
        </w:rPr>
        <w:t>2023 was $28.0533. This is calculated as follows:</w:t>
      </w:r>
    </w:p>
    <w:p w14:paraId="0CFAD227" w14:textId="77777777" w:rsidR="001C0D3F" w:rsidRPr="001C0D3F" w:rsidRDefault="001C0D3F" w:rsidP="001C0D3F">
      <w:pPr>
        <w:spacing w:after="240"/>
        <w:ind w:left="360"/>
        <w:rPr>
          <w:rFonts w:ascii="Arial" w:hAnsi="Arial" w:cs="Arial"/>
          <w:bCs/>
        </w:rPr>
      </w:pPr>
      <w:r w:rsidRPr="001C0D3F">
        <w:rPr>
          <w:rFonts w:ascii="Arial" w:hAnsi="Arial" w:cs="Arial"/>
          <w:bCs/>
        </w:rPr>
        <w:t>$27.4521 (2022 CF without PAMA 1-year 3% increase) * 1.038 (CY 2023 MEI) * 0.9840 (CY 2023 RVU Budget Neutrality Adjustment) * 1.0005 (CY 2023 Anesthesia Fee Schedule Practice Expense and Malpractice Adjustment) = $28.0533</w:t>
      </w:r>
    </w:p>
    <w:p w14:paraId="0D5CC8AF" w14:textId="77777777" w:rsidR="001C0D3F" w:rsidRPr="001C0D3F" w:rsidRDefault="001C0D3F" w:rsidP="001C0D3F">
      <w:pPr>
        <w:spacing w:after="240"/>
        <w:ind w:left="360"/>
        <w:rPr>
          <w:rFonts w:ascii="Arial" w:hAnsi="Arial" w:cs="Arial"/>
          <w:bCs/>
        </w:rPr>
      </w:pPr>
      <w:r w:rsidRPr="001C0D3F">
        <w:rPr>
          <w:rFonts w:ascii="Arial" w:hAnsi="Arial" w:cs="Arial"/>
          <w:bCs/>
        </w:rPr>
        <w:t>(See the Explanation of Changes attached to the Administrative Director update order dated January 30, 2023, page 14, for Physician Fee Schedule 2023 Annual update.)</w:t>
      </w:r>
    </w:p>
    <w:p w14:paraId="3B8BA2FD" w14:textId="77777777" w:rsidR="001C0D3F" w:rsidRPr="001C0D3F" w:rsidRDefault="001C0D3F" w:rsidP="001C0D3F">
      <w:pPr>
        <w:spacing w:after="240"/>
        <w:ind w:left="360"/>
        <w:rPr>
          <w:rFonts w:ascii="Arial" w:hAnsi="Arial" w:cs="Arial"/>
          <w:bCs/>
        </w:rPr>
      </w:pPr>
      <w:r w:rsidRPr="001C0D3F">
        <w:rPr>
          <w:rFonts w:ascii="Arial" w:hAnsi="Arial" w:cs="Arial"/>
          <w:bCs/>
        </w:rPr>
        <w:t>The workers’ compensation 2024 Conversion Factor (CF) for Anesthesia Services (before Geographic Practice Cost Index adjustment) as revised to adopt the Consolidated Appropriations Act, 2024 multiplier is calculated as follows:</w:t>
      </w:r>
    </w:p>
    <w:p w14:paraId="76F88D56" w14:textId="77777777" w:rsidR="001C0D3F" w:rsidRDefault="001C0D3F" w:rsidP="001C0D3F">
      <w:pPr>
        <w:spacing w:after="240"/>
        <w:ind w:left="360"/>
        <w:rPr>
          <w:rFonts w:ascii="Arial" w:hAnsi="Arial" w:cs="Arial"/>
          <w:bCs/>
        </w:rPr>
      </w:pPr>
      <w:r w:rsidRPr="001C0D3F">
        <w:rPr>
          <w:rFonts w:ascii="Arial" w:hAnsi="Arial" w:cs="Arial"/>
          <w:bCs/>
        </w:rPr>
        <w:t xml:space="preserve">$28.0533 (2023 CF without CAA, 2023 one-year 2.50% increase) * 1.046 (CY 2024 MEI) * 0.9782 (CY 2024 RVU Budget Neutrality Adjustment) * 1.0011 (CY 2024 Anesthesia Fee Schedule Practice Expense and Malpractice Adjustment) * 1.0293 (CAA, 2024 revised temporary increase for 2024) = </w:t>
      </w:r>
      <w:r w:rsidRPr="001C0D3F">
        <w:rPr>
          <w:rFonts w:ascii="Arial" w:hAnsi="Arial" w:cs="Arial"/>
          <w:b/>
          <w:bCs/>
        </w:rPr>
        <w:t>$ 29.5775</w:t>
      </w:r>
      <w:r w:rsidRPr="001C0D3F">
        <w:rPr>
          <w:rFonts w:ascii="Arial" w:hAnsi="Arial" w:cs="Arial"/>
          <w:bCs/>
        </w:rPr>
        <w:t>.</w:t>
      </w:r>
    </w:p>
    <w:p w14:paraId="1DC1450A" w14:textId="095DF1F5" w:rsidR="00EF602C" w:rsidRDefault="00EF602C" w:rsidP="00EF602C">
      <w:pPr>
        <w:spacing w:after="240"/>
        <w:ind w:left="360"/>
        <w:rPr>
          <w:rFonts w:ascii="Arial" w:hAnsi="Arial" w:cs="Arial"/>
          <w:bCs/>
        </w:rPr>
      </w:pPr>
      <w:r w:rsidRPr="00EF602C">
        <w:rPr>
          <w:rFonts w:ascii="Arial" w:hAnsi="Arial" w:cs="Arial"/>
          <w:bCs/>
        </w:rPr>
        <w:t>The workers’ compensation base CF of $29.</w:t>
      </w:r>
      <w:r>
        <w:rPr>
          <w:rFonts w:ascii="Arial" w:hAnsi="Arial" w:cs="Arial"/>
          <w:bCs/>
        </w:rPr>
        <w:t>5775</w:t>
      </w:r>
      <w:r w:rsidRPr="00EF602C">
        <w:rPr>
          <w:rFonts w:ascii="Arial" w:hAnsi="Arial" w:cs="Arial"/>
          <w:bCs/>
        </w:rPr>
        <w:t xml:space="preserve"> is adjusted for each locality as set forth in Table </w:t>
      </w:r>
      <w:proofErr w:type="gramStart"/>
      <w:r w:rsidRPr="00EF602C">
        <w:rPr>
          <w:rFonts w:ascii="Arial" w:hAnsi="Arial" w:cs="Arial"/>
          <w:bCs/>
        </w:rPr>
        <w:t>A</w:t>
      </w:r>
      <w:proofErr w:type="gramEnd"/>
      <w:r w:rsidRPr="00EF602C">
        <w:rPr>
          <w:rFonts w:ascii="Arial" w:hAnsi="Arial" w:cs="Arial"/>
          <w:bCs/>
        </w:rPr>
        <w:t xml:space="preserve"> Effective for Services </w:t>
      </w:r>
      <w:r>
        <w:rPr>
          <w:rFonts w:ascii="Arial" w:hAnsi="Arial" w:cs="Arial"/>
          <w:bCs/>
        </w:rPr>
        <w:t>04</w:t>
      </w:r>
      <w:r w:rsidRPr="00EF602C">
        <w:rPr>
          <w:rFonts w:ascii="Arial" w:hAnsi="Arial" w:cs="Arial"/>
          <w:bCs/>
        </w:rPr>
        <w:t>/</w:t>
      </w:r>
      <w:r>
        <w:rPr>
          <w:rFonts w:ascii="Arial" w:hAnsi="Arial" w:cs="Arial"/>
          <w:bCs/>
        </w:rPr>
        <w:t>0</w:t>
      </w:r>
      <w:r w:rsidRPr="00EF602C">
        <w:rPr>
          <w:rFonts w:ascii="Arial" w:hAnsi="Arial" w:cs="Arial"/>
          <w:bCs/>
        </w:rPr>
        <w:t>1/2024.</w:t>
      </w:r>
    </w:p>
    <w:p w14:paraId="555028EF" w14:textId="7F3F3D00" w:rsidR="00EF602C" w:rsidRDefault="00EF602C">
      <w:pPr>
        <w:rPr>
          <w:rFonts w:ascii="Arial" w:hAnsi="Arial" w:cs="Arial"/>
          <w:bCs/>
        </w:rPr>
      </w:pPr>
      <w:r>
        <w:rPr>
          <w:rFonts w:ascii="Arial" w:hAnsi="Arial" w:cs="Arial"/>
          <w:bCs/>
        </w:rPr>
        <w:br w:type="page"/>
      </w:r>
    </w:p>
    <w:p w14:paraId="7B12E6E9" w14:textId="482841F7" w:rsidR="00926CEF" w:rsidRDefault="00926CEF" w:rsidP="001C0D3F">
      <w:pPr>
        <w:spacing w:after="240"/>
        <w:ind w:left="360"/>
        <w:rPr>
          <w:rFonts w:ascii="Arial" w:hAnsi="Arial" w:cs="Arial"/>
          <w:bCs/>
        </w:rPr>
      </w:pPr>
      <w:r w:rsidRPr="00B968D5">
        <w:rPr>
          <w:rFonts w:ascii="Arial" w:hAnsi="Arial" w:cs="Arial"/>
          <w:b/>
        </w:rPr>
        <w:lastRenderedPageBreak/>
        <w:t>Title 8 CCR §9789.19</w:t>
      </w:r>
      <w:r>
        <w:rPr>
          <w:rFonts w:ascii="Arial" w:hAnsi="Arial" w:cs="Arial"/>
          <w:b/>
        </w:rPr>
        <w:t xml:space="preserve">.1 </w:t>
      </w:r>
      <w:r w:rsidRPr="001C0D3F">
        <w:rPr>
          <w:rFonts w:ascii="Arial" w:hAnsi="Arial" w:cs="Arial"/>
          <w:b/>
          <w:bCs/>
        </w:rPr>
        <w:t>Table A</w:t>
      </w:r>
      <w:r>
        <w:rPr>
          <w:rFonts w:ascii="Arial" w:hAnsi="Arial" w:cs="Arial"/>
          <w:b/>
          <w:bCs/>
        </w:rPr>
        <w:t xml:space="preserve"> </w:t>
      </w:r>
      <w:r w:rsidR="007F3242">
        <w:rPr>
          <w:rFonts w:ascii="Arial" w:hAnsi="Arial" w:cs="Arial"/>
          <w:b/>
          <w:bCs/>
        </w:rPr>
        <w:t>Effective 04</w:t>
      </w:r>
      <w:r w:rsidR="00183F98">
        <w:rPr>
          <w:rFonts w:ascii="Arial" w:hAnsi="Arial" w:cs="Arial"/>
          <w:b/>
          <w:bCs/>
        </w:rPr>
        <w:t>/</w:t>
      </w:r>
      <w:r w:rsidR="007F3242">
        <w:rPr>
          <w:rFonts w:ascii="Arial" w:hAnsi="Arial" w:cs="Arial"/>
          <w:b/>
          <w:bCs/>
        </w:rPr>
        <w:t>01</w:t>
      </w:r>
      <w:r w:rsidR="00183F98">
        <w:rPr>
          <w:rFonts w:ascii="Arial" w:hAnsi="Arial" w:cs="Arial"/>
          <w:b/>
          <w:bCs/>
        </w:rPr>
        <w:t>/</w:t>
      </w:r>
      <w:r w:rsidR="007F3242">
        <w:rPr>
          <w:rFonts w:ascii="Arial" w:hAnsi="Arial" w:cs="Arial"/>
          <w:b/>
          <w:bCs/>
        </w:rPr>
        <w:t xml:space="preserve">2024 </w:t>
      </w:r>
      <w:r>
        <w:rPr>
          <w:rFonts w:ascii="Arial" w:hAnsi="Arial" w:cs="Arial"/>
          <w:b/>
          <w:bCs/>
        </w:rPr>
        <w:t>– GPCI-Adjusted Conversion Factors</w:t>
      </w:r>
      <w:r w:rsidR="007F3242">
        <w:rPr>
          <w:rFonts w:ascii="Arial" w:hAnsi="Arial" w:cs="Arial"/>
          <w:b/>
          <w:bCs/>
        </w:rPr>
        <w:t xml:space="preserve"> for Anesthesia </w:t>
      </w:r>
    </w:p>
    <w:p w14:paraId="38531CBF" w14:textId="30D89CAB" w:rsidR="001C0D3F" w:rsidRPr="001C0D3F" w:rsidRDefault="001C0D3F" w:rsidP="001C0D3F">
      <w:pPr>
        <w:spacing w:after="240"/>
        <w:ind w:left="360"/>
        <w:rPr>
          <w:rFonts w:ascii="Arial" w:hAnsi="Arial" w:cs="Arial"/>
          <w:bCs/>
        </w:rPr>
      </w:pPr>
      <w:r w:rsidRPr="001C0D3F">
        <w:rPr>
          <w:rFonts w:ascii="Arial" w:hAnsi="Arial" w:cs="Arial"/>
          <w:bCs/>
        </w:rPr>
        <w:t>The workers’ compensation base</w:t>
      </w:r>
      <w:r w:rsidR="00EF602C">
        <w:rPr>
          <w:rFonts w:ascii="Arial" w:hAnsi="Arial" w:cs="Arial"/>
          <w:bCs/>
        </w:rPr>
        <w:t xml:space="preserve"> anesthesia</w:t>
      </w:r>
      <w:r w:rsidRPr="001C0D3F">
        <w:rPr>
          <w:rFonts w:ascii="Arial" w:hAnsi="Arial" w:cs="Arial"/>
          <w:bCs/>
        </w:rPr>
        <w:t xml:space="preserve"> CF of $29.5775 is adjusted for each </w:t>
      </w:r>
      <w:r w:rsidR="00926CEF">
        <w:rPr>
          <w:rFonts w:ascii="Arial" w:hAnsi="Arial" w:cs="Arial"/>
          <w:bCs/>
        </w:rPr>
        <w:t>California Medicare</w:t>
      </w:r>
      <w:r w:rsidR="00926CEF" w:rsidRPr="001C0D3F">
        <w:rPr>
          <w:rFonts w:ascii="Arial" w:hAnsi="Arial" w:cs="Arial"/>
          <w:bCs/>
        </w:rPr>
        <w:t xml:space="preserve"> </w:t>
      </w:r>
      <w:r w:rsidRPr="001C0D3F">
        <w:rPr>
          <w:rFonts w:ascii="Arial" w:hAnsi="Arial" w:cs="Arial"/>
          <w:bCs/>
        </w:rPr>
        <w:t xml:space="preserve">locality as set forth in </w:t>
      </w:r>
      <w:r w:rsidR="00EB47C5">
        <w:rPr>
          <w:rFonts w:ascii="Arial" w:hAnsi="Arial" w:cs="Arial"/>
          <w:bCs/>
        </w:rPr>
        <w:t xml:space="preserve">Section 9789.19.1 </w:t>
      </w:r>
      <w:bookmarkStart w:id="1" w:name="_Hlk162030111"/>
      <w:r w:rsidRPr="001C0D3F">
        <w:rPr>
          <w:rFonts w:ascii="Arial" w:hAnsi="Arial" w:cs="Arial"/>
          <w:bCs/>
        </w:rPr>
        <w:t>Table A</w:t>
      </w:r>
      <w:bookmarkEnd w:id="1"/>
      <w:r w:rsidRPr="001C0D3F">
        <w:rPr>
          <w:rFonts w:ascii="Arial" w:hAnsi="Arial" w:cs="Arial"/>
          <w:bCs/>
        </w:rPr>
        <w:t xml:space="preserve"> Effective for Services 04/01/2024.</w:t>
      </w:r>
    </w:p>
    <w:p w14:paraId="65A006A9" w14:textId="284AD791" w:rsidR="00F903D1" w:rsidRPr="001C0D3F" w:rsidRDefault="00EB47C5" w:rsidP="00D50A2D">
      <w:pPr>
        <w:spacing w:after="240"/>
        <w:ind w:left="360"/>
        <w:rPr>
          <w:rFonts w:ascii="Arial" w:hAnsi="Arial" w:cs="Arial"/>
          <w:bCs/>
        </w:rPr>
      </w:pPr>
      <w:r>
        <w:rPr>
          <w:rFonts w:ascii="Arial" w:hAnsi="Arial" w:cs="Arial"/>
          <w:bCs/>
        </w:rPr>
        <w:t>The increased GPCI-adjusted conversion factor</w:t>
      </w:r>
      <w:r w:rsidR="00D83520">
        <w:rPr>
          <w:rFonts w:ascii="Arial" w:hAnsi="Arial" w:cs="Arial"/>
          <w:bCs/>
        </w:rPr>
        <w:t>s</w:t>
      </w:r>
      <w:r>
        <w:rPr>
          <w:rFonts w:ascii="Arial" w:hAnsi="Arial" w:cs="Arial"/>
          <w:bCs/>
        </w:rPr>
        <w:t xml:space="preserve"> result from use of the CAA, 2024 2.93% multiplier in place of the 1.25% multiplier in the formula for the base conversion factor.</w:t>
      </w:r>
      <w:r w:rsidR="00EF602C" w:rsidRPr="00EF602C">
        <w:rPr>
          <w:rFonts w:ascii="Arial" w:hAnsi="Arial" w:cs="Arial"/>
          <w:bCs/>
        </w:rPr>
        <w:t xml:space="preserve"> </w:t>
      </w:r>
      <w:r w:rsidR="00EF602C">
        <w:rPr>
          <w:rFonts w:ascii="Arial" w:hAnsi="Arial" w:cs="Arial"/>
          <w:bCs/>
        </w:rPr>
        <w:t>The GPCIs for Physician Work, Practice Expense and Malpractice Expense are unchanged. The Anesthesia Shares for Physician Work, Practice Expense and Malpractice Expense are also unchanged.</w:t>
      </w:r>
    </w:p>
    <w:p w14:paraId="0DAEC7B6" w14:textId="3AFE0F24" w:rsidR="00C4358F" w:rsidRPr="006147F8" w:rsidRDefault="00D83520" w:rsidP="006147F8">
      <w:pPr>
        <w:spacing w:after="240"/>
        <w:ind w:left="360"/>
        <w:rPr>
          <w:rFonts w:ascii="Arial" w:hAnsi="Arial" w:cs="Arial"/>
          <w:bCs/>
        </w:rPr>
      </w:pPr>
      <w:r w:rsidRPr="00D83520">
        <w:rPr>
          <w:rFonts w:ascii="Arial" w:hAnsi="Arial" w:cs="Arial"/>
          <w:bCs/>
        </w:rPr>
        <w:t>End of Explanation of Changes</w:t>
      </w:r>
    </w:p>
    <w:sectPr w:rsidR="00C4358F" w:rsidRPr="006147F8" w:rsidSect="00A94043">
      <w:footerReference w:type="default" r:id="rId11"/>
      <w:pgSz w:w="12240" w:h="15840"/>
      <w:pgMar w:top="117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7BE4E" w14:textId="77777777" w:rsidR="004A5060" w:rsidRDefault="004A5060">
      <w:r>
        <w:separator/>
      </w:r>
    </w:p>
  </w:endnote>
  <w:endnote w:type="continuationSeparator" w:id="0">
    <w:p w14:paraId="69AF404B" w14:textId="77777777" w:rsidR="004A5060" w:rsidRDefault="004A5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E7FB5" w14:textId="4F030A27" w:rsidR="004A5060" w:rsidRPr="00573F80" w:rsidRDefault="004A5060" w:rsidP="006B2C29">
    <w:pPr>
      <w:pStyle w:val="Footer"/>
      <w:rPr>
        <w:rFonts w:ascii="Arial" w:hAnsi="Arial" w:cs="Arial"/>
      </w:rPr>
    </w:pPr>
  </w:p>
  <w:p w14:paraId="69B6000C" w14:textId="77777777" w:rsidR="004A5060" w:rsidRPr="00573F80" w:rsidRDefault="004A5060" w:rsidP="006B2C29">
    <w:pPr>
      <w:pStyle w:val="Footer"/>
      <w:pBdr>
        <w:top w:val="thinThickSmallGap" w:sz="24" w:space="1" w:color="622423"/>
      </w:pBdr>
      <w:tabs>
        <w:tab w:val="clear" w:pos="4320"/>
      </w:tabs>
      <w:rPr>
        <w:rFonts w:ascii="Arial" w:hAnsi="Arial" w:cs="Arial"/>
      </w:rPr>
    </w:pPr>
    <w:r w:rsidRPr="00573F80">
      <w:rPr>
        <w:rFonts w:ascii="Arial" w:hAnsi="Arial" w:cs="Arial"/>
      </w:rPr>
      <w:t>Physician and Non-Physician Practitioner Fee Schedule</w:t>
    </w:r>
  </w:p>
  <w:p w14:paraId="062CAD2C" w14:textId="22875F69" w:rsidR="004A5060" w:rsidRPr="00573F80" w:rsidRDefault="00D572DA" w:rsidP="00A838F2">
    <w:pPr>
      <w:pStyle w:val="Footer"/>
      <w:pBdr>
        <w:top w:val="thinThickSmallGap" w:sz="24" w:space="1" w:color="622423"/>
      </w:pBdr>
      <w:tabs>
        <w:tab w:val="clear" w:pos="4320"/>
      </w:tabs>
      <w:spacing w:after="360"/>
      <w:rPr>
        <w:rFonts w:ascii="Arial" w:hAnsi="Arial" w:cs="Arial"/>
      </w:rPr>
    </w:pPr>
    <w:r>
      <w:rPr>
        <w:rFonts w:ascii="Arial" w:hAnsi="Arial" w:cs="Arial"/>
      </w:rPr>
      <w:t>April 1</w:t>
    </w:r>
    <w:r w:rsidR="004A5060" w:rsidRPr="007329EA">
      <w:rPr>
        <w:rFonts w:ascii="Arial" w:hAnsi="Arial" w:cs="Arial"/>
      </w:rPr>
      <w:t>,</w:t>
    </w:r>
    <w:r w:rsidR="004A5060" w:rsidRPr="00573F80">
      <w:rPr>
        <w:rFonts w:ascii="Arial" w:hAnsi="Arial" w:cs="Arial"/>
      </w:rPr>
      <w:t xml:space="preserve"> </w:t>
    </w:r>
    <w:proofErr w:type="gramStart"/>
    <w:r w:rsidR="007E01AF" w:rsidRPr="00573F80">
      <w:rPr>
        <w:rFonts w:ascii="Arial" w:hAnsi="Arial" w:cs="Arial"/>
      </w:rPr>
      <w:t>20</w:t>
    </w:r>
    <w:r w:rsidR="007E01AF">
      <w:rPr>
        <w:rFonts w:ascii="Arial" w:hAnsi="Arial" w:cs="Arial"/>
      </w:rPr>
      <w:t>24</w:t>
    </w:r>
    <w:proofErr w:type="gramEnd"/>
    <w:r w:rsidR="007E01AF">
      <w:rPr>
        <w:rFonts w:ascii="Arial" w:hAnsi="Arial" w:cs="Arial"/>
      </w:rPr>
      <w:t xml:space="preserve"> </w:t>
    </w:r>
    <w:r w:rsidR="004A5060">
      <w:rPr>
        <w:rFonts w:ascii="Arial" w:hAnsi="Arial" w:cs="Arial"/>
      </w:rPr>
      <w:t xml:space="preserve">Update: </w:t>
    </w:r>
    <w:r w:rsidR="004A5060" w:rsidRPr="00573F80">
      <w:rPr>
        <w:rFonts w:ascii="Arial" w:hAnsi="Arial" w:cs="Arial"/>
      </w:rPr>
      <w:t>Explanation of Changes</w:t>
    </w:r>
    <w:r w:rsidR="004A5060" w:rsidRPr="00573F80">
      <w:rPr>
        <w:rFonts w:ascii="Arial" w:hAnsi="Arial" w:cs="Arial"/>
      </w:rPr>
      <w:tab/>
      <w:t xml:space="preserve">Page </w:t>
    </w:r>
    <w:r w:rsidR="004A5060" w:rsidRPr="00573F80">
      <w:rPr>
        <w:rFonts w:ascii="Arial" w:hAnsi="Arial" w:cs="Arial"/>
      </w:rPr>
      <w:fldChar w:fldCharType="begin"/>
    </w:r>
    <w:r w:rsidR="004A5060" w:rsidRPr="00573F80">
      <w:rPr>
        <w:rFonts w:ascii="Arial" w:hAnsi="Arial" w:cs="Arial"/>
      </w:rPr>
      <w:instrText xml:space="preserve"> PAGE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r w:rsidR="004A5060" w:rsidRPr="00573F80">
      <w:rPr>
        <w:rFonts w:ascii="Arial" w:hAnsi="Arial" w:cs="Arial"/>
      </w:rPr>
      <w:t xml:space="preserve"> of </w:t>
    </w:r>
    <w:r w:rsidR="004A5060" w:rsidRPr="00573F80">
      <w:rPr>
        <w:rFonts w:ascii="Arial" w:hAnsi="Arial" w:cs="Arial"/>
      </w:rPr>
      <w:fldChar w:fldCharType="begin"/>
    </w:r>
    <w:r w:rsidR="004A5060" w:rsidRPr="00573F80">
      <w:rPr>
        <w:rFonts w:ascii="Arial" w:hAnsi="Arial" w:cs="Arial"/>
      </w:rPr>
      <w:instrText xml:space="preserve"> NUMPAGES  \* Arabic  \* MERGEFORMAT </w:instrText>
    </w:r>
    <w:r w:rsidR="004A5060" w:rsidRPr="00573F80">
      <w:rPr>
        <w:rFonts w:ascii="Arial" w:hAnsi="Arial" w:cs="Arial"/>
      </w:rPr>
      <w:fldChar w:fldCharType="separate"/>
    </w:r>
    <w:r w:rsidR="0092308D">
      <w:rPr>
        <w:rFonts w:ascii="Arial" w:hAnsi="Arial" w:cs="Arial"/>
        <w:noProof/>
      </w:rPr>
      <w:t>13</w:t>
    </w:r>
    <w:r w:rsidR="004A5060" w:rsidRPr="00573F80">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B6231" w14:textId="77777777" w:rsidR="004A5060" w:rsidRDefault="004A5060">
      <w:r>
        <w:separator/>
      </w:r>
    </w:p>
  </w:footnote>
  <w:footnote w:type="continuationSeparator" w:id="0">
    <w:p w14:paraId="7360C908" w14:textId="77777777" w:rsidR="004A5060" w:rsidRDefault="004A5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70975"/>
    <w:multiLevelType w:val="hybridMultilevel"/>
    <w:tmpl w:val="233C05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CD0362"/>
    <w:multiLevelType w:val="hybridMultilevel"/>
    <w:tmpl w:val="0C0206CC"/>
    <w:lvl w:ilvl="0" w:tplc="3496AC6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B5B60B9"/>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3" w15:restartNumberingAfterBreak="0">
    <w:nsid w:val="0DD30C26"/>
    <w:multiLevelType w:val="hybridMultilevel"/>
    <w:tmpl w:val="005AFC0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30B30"/>
    <w:multiLevelType w:val="hybridMultilevel"/>
    <w:tmpl w:val="557E321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2349D"/>
    <w:multiLevelType w:val="hybridMultilevel"/>
    <w:tmpl w:val="7D3AADC6"/>
    <w:lvl w:ilvl="0" w:tplc="FFFFFFFF">
      <w:start w:val="1"/>
      <w:numFmt w:val="lowerLetter"/>
      <w:lvlText w:val="(%1)"/>
      <w:lvlJc w:val="left"/>
      <w:pPr>
        <w:tabs>
          <w:tab w:val="num" w:pos="735"/>
        </w:tabs>
        <w:ind w:left="735" w:hanging="375"/>
      </w:pPr>
      <w:rPr>
        <w:rFonts w:hint="default"/>
      </w:rPr>
    </w:lvl>
    <w:lvl w:ilvl="1" w:tplc="FFFFFFFF">
      <w:start w:val="1"/>
      <w:numFmt w:val="decimal"/>
      <w:lvlText w:val="(%2)"/>
      <w:lvlJc w:val="left"/>
      <w:pPr>
        <w:tabs>
          <w:tab w:val="num" w:pos="1485"/>
        </w:tabs>
        <w:ind w:left="1485" w:hanging="405"/>
      </w:pPr>
      <w:rPr>
        <w:rFonts w:hint="default"/>
        <w:b w:val="0"/>
      </w:rPr>
    </w:lvl>
    <w:lvl w:ilvl="2" w:tplc="208282D0">
      <w:start w:val="1"/>
      <w:numFmt w:val="lowerRoman"/>
      <w:lvlText w:val="%3."/>
      <w:lvlJc w:val="right"/>
      <w:pPr>
        <w:tabs>
          <w:tab w:val="num" w:pos="2160"/>
        </w:tabs>
        <w:ind w:left="2160" w:hanging="180"/>
      </w:pPr>
      <w:rPr>
        <w:b w:val="0"/>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6D46C89"/>
    <w:multiLevelType w:val="hybridMultilevel"/>
    <w:tmpl w:val="8FFE831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24F0A"/>
    <w:multiLevelType w:val="hybridMultilevel"/>
    <w:tmpl w:val="14F45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A579D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2B534DC"/>
    <w:multiLevelType w:val="hybridMultilevel"/>
    <w:tmpl w:val="D2B4F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7028F"/>
    <w:multiLevelType w:val="hybridMultilevel"/>
    <w:tmpl w:val="A9A8137C"/>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2874148A"/>
    <w:multiLevelType w:val="hybridMultilevel"/>
    <w:tmpl w:val="2D8A6348"/>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440"/>
        </w:tabs>
        <w:ind w:left="144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9A6618"/>
    <w:multiLevelType w:val="hybridMultilevel"/>
    <w:tmpl w:val="EADA7308"/>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C0F7FBB"/>
    <w:multiLevelType w:val="hybridMultilevel"/>
    <w:tmpl w:val="479486CA"/>
    <w:lvl w:ilvl="0" w:tplc="B10A7EC8">
      <w:start w:val="1"/>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2906EB4"/>
    <w:multiLevelType w:val="hybridMultilevel"/>
    <w:tmpl w:val="6A14EDBE"/>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2D243B6"/>
    <w:multiLevelType w:val="hybridMultilevel"/>
    <w:tmpl w:val="DDDCC876"/>
    <w:lvl w:ilvl="0" w:tplc="6A4689E0">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07275B"/>
    <w:multiLevelType w:val="multilevel"/>
    <w:tmpl w:val="78283A7E"/>
    <w:lvl w:ilvl="0">
      <w:start w:val="9"/>
      <w:numFmt w:val="lowerLetter"/>
      <w:lvlText w:val="%1."/>
      <w:lvlJc w:val="left"/>
      <w:pPr>
        <w:tabs>
          <w:tab w:val="num" w:pos="3060"/>
        </w:tabs>
        <w:ind w:left="3060" w:hanging="360"/>
      </w:pPr>
      <w:rPr>
        <w:rFonts w:hint="default"/>
      </w:rPr>
    </w:lvl>
    <w:lvl w:ilvl="1">
      <w:start w:val="1"/>
      <w:numFmt w:val="lowerLetter"/>
      <w:lvlText w:val="%2."/>
      <w:lvlJc w:val="left"/>
      <w:pPr>
        <w:tabs>
          <w:tab w:val="num" w:pos="3780"/>
        </w:tabs>
        <w:ind w:left="3780" w:hanging="360"/>
      </w:pPr>
    </w:lvl>
    <w:lvl w:ilvl="2">
      <w:start w:val="1"/>
      <w:numFmt w:val="lowerRoman"/>
      <w:lvlText w:val="%3."/>
      <w:lvlJc w:val="right"/>
      <w:pPr>
        <w:tabs>
          <w:tab w:val="num" w:pos="4500"/>
        </w:tabs>
        <w:ind w:left="4500" w:hanging="180"/>
      </w:pPr>
    </w:lvl>
    <w:lvl w:ilvl="3">
      <w:start w:val="1"/>
      <w:numFmt w:val="decimal"/>
      <w:lvlText w:val="%4."/>
      <w:lvlJc w:val="left"/>
      <w:pPr>
        <w:tabs>
          <w:tab w:val="num" w:pos="5220"/>
        </w:tabs>
        <w:ind w:left="5220" w:hanging="360"/>
      </w:pPr>
    </w:lvl>
    <w:lvl w:ilvl="4">
      <w:start w:val="1"/>
      <w:numFmt w:val="lowerLetter"/>
      <w:lvlText w:val="%5."/>
      <w:lvlJc w:val="left"/>
      <w:pPr>
        <w:tabs>
          <w:tab w:val="num" w:pos="5940"/>
        </w:tabs>
        <w:ind w:left="5940" w:hanging="360"/>
      </w:pPr>
    </w:lvl>
    <w:lvl w:ilvl="5">
      <w:start w:val="1"/>
      <w:numFmt w:val="lowerRoman"/>
      <w:lvlText w:val="%6."/>
      <w:lvlJc w:val="right"/>
      <w:pPr>
        <w:tabs>
          <w:tab w:val="num" w:pos="6660"/>
        </w:tabs>
        <w:ind w:left="6660" w:hanging="180"/>
      </w:pPr>
    </w:lvl>
    <w:lvl w:ilvl="6">
      <w:start w:val="1"/>
      <w:numFmt w:val="decimal"/>
      <w:lvlText w:val="%7."/>
      <w:lvlJc w:val="left"/>
      <w:pPr>
        <w:tabs>
          <w:tab w:val="num" w:pos="7380"/>
        </w:tabs>
        <w:ind w:left="7380" w:hanging="360"/>
      </w:pPr>
    </w:lvl>
    <w:lvl w:ilvl="7">
      <w:start w:val="1"/>
      <w:numFmt w:val="lowerLetter"/>
      <w:lvlText w:val="%8."/>
      <w:lvlJc w:val="left"/>
      <w:pPr>
        <w:tabs>
          <w:tab w:val="num" w:pos="8100"/>
        </w:tabs>
        <w:ind w:left="8100" w:hanging="360"/>
      </w:pPr>
    </w:lvl>
    <w:lvl w:ilvl="8">
      <w:start w:val="1"/>
      <w:numFmt w:val="lowerRoman"/>
      <w:lvlText w:val="%9."/>
      <w:lvlJc w:val="right"/>
      <w:pPr>
        <w:tabs>
          <w:tab w:val="num" w:pos="8820"/>
        </w:tabs>
        <w:ind w:left="8820" w:hanging="180"/>
      </w:pPr>
    </w:lvl>
  </w:abstractNum>
  <w:abstractNum w:abstractNumId="17" w15:restartNumberingAfterBreak="0">
    <w:nsid w:val="43D46B57"/>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74E2FEA"/>
    <w:multiLevelType w:val="hybridMultilevel"/>
    <w:tmpl w:val="C27A4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21138D"/>
    <w:multiLevelType w:val="hybridMultilevel"/>
    <w:tmpl w:val="D4A8AEE0"/>
    <w:lvl w:ilvl="0" w:tplc="2782FF8A">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26F3550"/>
    <w:multiLevelType w:val="hybridMultilevel"/>
    <w:tmpl w:val="CFF0DB88"/>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BE119F"/>
    <w:multiLevelType w:val="multilevel"/>
    <w:tmpl w:val="167E51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53360CBF"/>
    <w:multiLevelType w:val="hybridMultilevel"/>
    <w:tmpl w:val="E712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EC5116"/>
    <w:multiLevelType w:val="hybridMultilevel"/>
    <w:tmpl w:val="69DED2B0"/>
    <w:lvl w:ilvl="0" w:tplc="04090019">
      <w:start w:val="3"/>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A038EC"/>
    <w:multiLevelType w:val="hybridMultilevel"/>
    <w:tmpl w:val="C9765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C39E7"/>
    <w:multiLevelType w:val="hybridMultilevel"/>
    <w:tmpl w:val="ADDA254A"/>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C3475BB"/>
    <w:multiLevelType w:val="hybridMultilevel"/>
    <w:tmpl w:val="BD8C3E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E361A09"/>
    <w:multiLevelType w:val="hybridMultilevel"/>
    <w:tmpl w:val="8AAC7162"/>
    <w:lvl w:ilvl="0" w:tplc="77DCC950">
      <w:start w:val="1"/>
      <w:numFmt w:val="decimal"/>
      <w:lvlText w:val="%1)"/>
      <w:lvlJc w:val="left"/>
      <w:pPr>
        <w:ind w:left="1080" w:hanging="360"/>
      </w:pPr>
      <w:rPr>
        <w:rFonts w:hint="default"/>
        <w:sz w:val="23"/>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E790FD0"/>
    <w:multiLevelType w:val="hybridMultilevel"/>
    <w:tmpl w:val="78283A7E"/>
    <w:lvl w:ilvl="0" w:tplc="0ADCDC20">
      <w:start w:val="9"/>
      <w:numFmt w:val="lowerLetter"/>
      <w:lvlText w:val="%1."/>
      <w:lvlJc w:val="left"/>
      <w:pPr>
        <w:tabs>
          <w:tab w:val="num" w:pos="3060"/>
        </w:tabs>
        <w:ind w:left="3060" w:hanging="360"/>
      </w:pPr>
      <w:rPr>
        <w:rFonts w:hint="default"/>
      </w:rPr>
    </w:lvl>
    <w:lvl w:ilvl="1" w:tplc="04090019">
      <w:start w:val="1"/>
      <w:numFmt w:val="lowerLetter"/>
      <w:lvlText w:val="%2."/>
      <w:lvlJc w:val="left"/>
      <w:pPr>
        <w:tabs>
          <w:tab w:val="num" w:pos="3780"/>
        </w:tabs>
        <w:ind w:left="3780" w:hanging="360"/>
      </w:pPr>
    </w:lvl>
    <w:lvl w:ilvl="2" w:tplc="0409001B">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29" w15:restartNumberingAfterBreak="0">
    <w:nsid w:val="6168243E"/>
    <w:multiLevelType w:val="hybridMultilevel"/>
    <w:tmpl w:val="454CD6D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BD5346"/>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F2B5E"/>
    <w:multiLevelType w:val="hybridMultilevel"/>
    <w:tmpl w:val="D3FABB6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8B5498"/>
    <w:multiLevelType w:val="multilevel"/>
    <w:tmpl w:val="AF222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DBF01AF"/>
    <w:multiLevelType w:val="multilevel"/>
    <w:tmpl w:val="F3E416FA"/>
    <w:lvl w:ilvl="0">
      <w:start w:val="1"/>
      <w:numFmt w:val="lowerLetter"/>
      <w:lvlText w:val="(%1)"/>
      <w:lvlJc w:val="left"/>
      <w:pPr>
        <w:tabs>
          <w:tab w:val="num" w:pos="735"/>
        </w:tabs>
        <w:ind w:left="735" w:hanging="375"/>
      </w:pPr>
      <w:rPr>
        <w:rFonts w:hint="default"/>
      </w:rPr>
    </w:lvl>
    <w:lvl w:ilvl="1">
      <w:start w:val="1"/>
      <w:numFmt w:val="decimal"/>
      <w:lvlText w:val="(%2)"/>
      <w:lvlJc w:val="left"/>
      <w:pPr>
        <w:tabs>
          <w:tab w:val="num" w:pos="1485"/>
        </w:tabs>
        <w:ind w:left="1485" w:hanging="405"/>
      </w:pPr>
      <w:rPr>
        <w:rFonts w:hint="default"/>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14E1B0E"/>
    <w:multiLevelType w:val="hybridMultilevel"/>
    <w:tmpl w:val="559462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72FE41FB"/>
    <w:multiLevelType w:val="hybridMultilevel"/>
    <w:tmpl w:val="0C6E576C"/>
    <w:lvl w:ilvl="0" w:tplc="3698E1FC">
      <w:start w:val="1"/>
      <w:numFmt w:val="bullet"/>
      <w:lvlText w:val=""/>
      <w:lvlJc w:val="left"/>
      <w:pPr>
        <w:tabs>
          <w:tab w:val="num" w:pos="720"/>
        </w:tabs>
        <w:ind w:left="720" w:hanging="360"/>
      </w:pPr>
      <w:rPr>
        <w:rFonts w:ascii="Symbol" w:hAnsi="Symbol" w:hint="default"/>
        <w:sz w:val="20"/>
      </w:rPr>
    </w:lvl>
    <w:lvl w:ilvl="1" w:tplc="3BCE9FEA">
      <w:start w:val="1"/>
      <w:numFmt w:val="bullet"/>
      <w:lvlText w:val="o"/>
      <w:lvlJc w:val="left"/>
      <w:pPr>
        <w:tabs>
          <w:tab w:val="num" w:pos="1440"/>
        </w:tabs>
        <w:ind w:left="1440" w:hanging="360"/>
      </w:pPr>
      <w:rPr>
        <w:rFonts w:ascii="Courier New" w:hAnsi="Courier New" w:hint="default"/>
        <w:sz w:val="20"/>
      </w:rPr>
    </w:lvl>
    <w:lvl w:ilvl="2" w:tplc="865AAFB6">
      <w:start w:val="1"/>
      <w:numFmt w:val="bullet"/>
      <w:lvlText w:val=""/>
      <w:lvlJc w:val="left"/>
      <w:pPr>
        <w:tabs>
          <w:tab w:val="num" w:pos="2160"/>
        </w:tabs>
        <w:ind w:left="2160" w:hanging="360"/>
      </w:pPr>
      <w:rPr>
        <w:rFonts w:ascii="Wingdings" w:hAnsi="Wingdings" w:hint="default"/>
        <w:sz w:val="20"/>
      </w:rPr>
    </w:lvl>
    <w:lvl w:ilvl="3" w:tplc="58CCE11C" w:tentative="1">
      <w:start w:val="1"/>
      <w:numFmt w:val="bullet"/>
      <w:lvlText w:val=""/>
      <w:lvlJc w:val="left"/>
      <w:pPr>
        <w:tabs>
          <w:tab w:val="num" w:pos="2880"/>
        </w:tabs>
        <w:ind w:left="2880" w:hanging="360"/>
      </w:pPr>
      <w:rPr>
        <w:rFonts w:ascii="Wingdings" w:hAnsi="Wingdings" w:hint="default"/>
        <w:sz w:val="20"/>
      </w:rPr>
    </w:lvl>
    <w:lvl w:ilvl="4" w:tplc="B130F1D6" w:tentative="1">
      <w:start w:val="1"/>
      <w:numFmt w:val="bullet"/>
      <w:lvlText w:val=""/>
      <w:lvlJc w:val="left"/>
      <w:pPr>
        <w:tabs>
          <w:tab w:val="num" w:pos="3600"/>
        </w:tabs>
        <w:ind w:left="3600" w:hanging="360"/>
      </w:pPr>
      <w:rPr>
        <w:rFonts w:ascii="Wingdings" w:hAnsi="Wingdings" w:hint="default"/>
        <w:sz w:val="20"/>
      </w:rPr>
    </w:lvl>
    <w:lvl w:ilvl="5" w:tplc="48A2E610" w:tentative="1">
      <w:start w:val="1"/>
      <w:numFmt w:val="bullet"/>
      <w:lvlText w:val=""/>
      <w:lvlJc w:val="left"/>
      <w:pPr>
        <w:tabs>
          <w:tab w:val="num" w:pos="4320"/>
        </w:tabs>
        <w:ind w:left="4320" w:hanging="360"/>
      </w:pPr>
      <w:rPr>
        <w:rFonts w:ascii="Wingdings" w:hAnsi="Wingdings" w:hint="default"/>
        <w:sz w:val="20"/>
      </w:rPr>
    </w:lvl>
    <w:lvl w:ilvl="6" w:tplc="B3C66136" w:tentative="1">
      <w:start w:val="1"/>
      <w:numFmt w:val="bullet"/>
      <w:lvlText w:val=""/>
      <w:lvlJc w:val="left"/>
      <w:pPr>
        <w:tabs>
          <w:tab w:val="num" w:pos="5040"/>
        </w:tabs>
        <w:ind w:left="5040" w:hanging="360"/>
      </w:pPr>
      <w:rPr>
        <w:rFonts w:ascii="Wingdings" w:hAnsi="Wingdings" w:hint="default"/>
        <w:sz w:val="20"/>
      </w:rPr>
    </w:lvl>
    <w:lvl w:ilvl="7" w:tplc="E0C0DD9C" w:tentative="1">
      <w:start w:val="1"/>
      <w:numFmt w:val="bullet"/>
      <w:lvlText w:val=""/>
      <w:lvlJc w:val="left"/>
      <w:pPr>
        <w:tabs>
          <w:tab w:val="num" w:pos="5760"/>
        </w:tabs>
        <w:ind w:left="5760" w:hanging="360"/>
      </w:pPr>
      <w:rPr>
        <w:rFonts w:ascii="Wingdings" w:hAnsi="Wingdings" w:hint="default"/>
        <w:sz w:val="20"/>
      </w:rPr>
    </w:lvl>
    <w:lvl w:ilvl="8" w:tplc="5F00DB3A"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424D20"/>
    <w:multiLevelType w:val="hybridMultilevel"/>
    <w:tmpl w:val="2EC6B9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C73A9B"/>
    <w:multiLevelType w:val="hybridMultilevel"/>
    <w:tmpl w:val="3CC81D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95E5A09"/>
    <w:multiLevelType w:val="hybridMultilevel"/>
    <w:tmpl w:val="8C5E72CA"/>
    <w:lvl w:ilvl="0" w:tplc="0409000F">
      <w:start w:val="1"/>
      <w:numFmt w:val="decimal"/>
      <w:lvlText w:val="%1."/>
      <w:lvlJc w:val="left"/>
      <w:pPr>
        <w:tabs>
          <w:tab w:val="num" w:pos="360"/>
        </w:tabs>
        <w:ind w:left="360" w:hanging="360"/>
      </w:pPr>
    </w:lvl>
    <w:lvl w:ilvl="1" w:tplc="04090011">
      <w:start w:val="1"/>
      <w:numFmt w:val="decimal"/>
      <w:lvlText w:val="%2)"/>
      <w:lvlJc w:val="left"/>
      <w:pPr>
        <w:tabs>
          <w:tab w:val="num" w:pos="1080"/>
        </w:tabs>
        <w:ind w:left="1080" w:hanging="360"/>
      </w:p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9AE5D37"/>
    <w:multiLevelType w:val="hybridMultilevel"/>
    <w:tmpl w:val="8700705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9CA0B4D"/>
    <w:multiLevelType w:val="hybridMultilevel"/>
    <w:tmpl w:val="FD8A306A"/>
    <w:lvl w:ilvl="0" w:tplc="1CA2C86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A05740C"/>
    <w:multiLevelType w:val="hybridMultilevel"/>
    <w:tmpl w:val="97063B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B4A2C17"/>
    <w:multiLevelType w:val="hybridMultilevel"/>
    <w:tmpl w:val="A12C9AB2"/>
    <w:lvl w:ilvl="0" w:tplc="26D2B5E6">
      <w:start w:val="1"/>
      <w:numFmt w:val="decimal"/>
      <w:pStyle w:val="Heading1"/>
      <w:lvlText w:val="%1."/>
      <w:lvlJc w:val="left"/>
      <w:pPr>
        <w:tabs>
          <w:tab w:val="num" w:pos="360"/>
        </w:tabs>
        <w:ind w:left="360" w:hanging="360"/>
      </w:pPr>
    </w:lvl>
    <w:lvl w:ilvl="1" w:tplc="A9D0176C">
      <w:start w:val="1"/>
      <w:numFmt w:val="lowerLetter"/>
      <w:lvlText w:val="%2."/>
      <w:lvlJc w:val="left"/>
      <w:pPr>
        <w:tabs>
          <w:tab w:val="num" w:pos="1440"/>
        </w:tabs>
        <w:ind w:left="1440" w:hanging="360"/>
      </w:pPr>
      <w:rPr>
        <w:rFonts w:ascii="Times New Roman" w:eastAsia="Times New Roman" w:hAnsi="Times New Roman" w:cs="Times New Roman"/>
      </w:rPr>
    </w:lvl>
    <w:lvl w:ilvl="2" w:tplc="D6BA5E7C">
      <w:start w:val="1"/>
      <w:numFmt w:val="decimal"/>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680CC7"/>
    <w:multiLevelType w:val="hybridMultilevel"/>
    <w:tmpl w:val="12AE1892"/>
    <w:lvl w:ilvl="0" w:tplc="AA6C9596">
      <w:start w:val="22"/>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44" w15:restartNumberingAfterBreak="0">
    <w:nsid w:val="7E1F3B62"/>
    <w:multiLevelType w:val="hybridMultilevel"/>
    <w:tmpl w:val="D2744044"/>
    <w:lvl w:ilvl="0" w:tplc="D4E4A5F0">
      <w:start w:val="1"/>
      <w:numFmt w:val="bullet"/>
      <w:lvlText w:val=""/>
      <w:lvlJc w:val="left"/>
      <w:pPr>
        <w:tabs>
          <w:tab w:val="num" w:pos="720"/>
        </w:tabs>
        <w:ind w:left="720" w:hanging="360"/>
      </w:pPr>
      <w:rPr>
        <w:rFonts w:ascii="Wingdings" w:hAnsi="Wingdings" w:hint="default"/>
        <w:sz w:val="20"/>
      </w:rPr>
    </w:lvl>
    <w:lvl w:ilvl="1" w:tplc="7E7E1C86" w:tentative="1">
      <w:start w:val="1"/>
      <w:numFmt w:val="bullet"/>
      <w:lvlText w:val=""/>
      <w:lvlJc w:val="left"/>
      <w:pPr>
        <w:tabs>
          <w:tab w:val="num" w:pos="1440"/>
        </w:tabs>
        <w:ind w:left="1440" w:hanging="360"/>
      </w:pPr>
      <w:rPr>
        <w:rFonts w:ascii="Wingdings" w:hAnsi="Wingdings" w:hint="default"/>
        <w:sz w:val="20"/>
      </w:rPr>
    </w:lvl>
    <w:lvl w:ilvl="2" w:tplc="B3EE62C0" w:tentative="1">
      <w:start w:val="1"/>
      <w:numFmt w:val="bullet"/>
      <w:lvlText w:val=""/>
      <w:lvlJc w:val="left"/>
      <w:pPr>
        <w:tabs>
          <w:tab w:val="num" w:pos="2160"/>
        </w:tabs>
        <w:ind w:left="2160" w:hanging="360"/>
      </w:pPr>
      <w:rPr>
        <w:rFonts w:ascii="Wingdings" w:hAnsi="Wingdings" w:hint="default"/>
        <w:sz w:val="20"/>
      </w:rPr>
    </w:lvl>
    <w:lvl w:ilvl="3" w:tplc="CD90C8EC" w:tentative="1">
      <w:start w:val="1"/>
      <w:numFmt w:val="bullet"/>
      <w:lvlText w:val=""/>
      <w:lvlJc w:val="left"/>
      <w:pPr>
        <w:tabs>
          <w:tab w:val="num" w:pos="2880"/>
        </w:tabs>
        <w:ind w:left="2880" w:hanging="360"/>
      </w:pPr>
      <w:rPr>
        <w:rFonts w:ascii="Wingdings" w:hAnsi="Wingdings" w:hint="default"/>
        <w:sz w:val="20"/>
      </w:rPr>
    </w:lvl>
    <w:lvl w:ilvl="4" w:tplc="B1BC0014" w:tentative="1">
      <w:start w:val="1"/>
      <w:numFmt w:val="bullet"/>
      <w:lvlText w:val=""/>
      <w:lvlJc w:val="left"/>
      <w:pPr>
        <w:tabs>
          <w:tab w:val="num" w:pos="3600"/>
        </w:tabs>
        <w:ind w:left="3600" w:hanging="360"/>
      </w:pPr>
      <w:rPr>
        <w:rFonts w:ascii="Wingdings" w:hAnsi="Wingdings" w:hint="default"/>
        <w:sz w:val="20"/>
      </w:rPr>
    </w:lvl>
    <w:lvl w:ilvl="5" w:tplc="5FC2FFC8" w:tentative="1">
      <w:start w:val="1"/>
      <w:numFmt w:val="bullet"/>
      <w:lvlText w:val=""/>
      <w:lvlJc w:val="left"/>
      <w:pPr>
        <w:tabs>
          <w:tab w:val="num" w:pos="4320"/>
        </w:tabs>
        <w:ind w:left="4320" w:hanging="360"/>
      </w:pPr>
      <w:rPr>
        <w:rFonts w:ascii="Wingdings" w:hAnsi="Wingdings" w:hint="default"/>
        <w:sz w:val="20"/>
      </w:rPr>
    </w:lvl>
    <w:lvl w:ilvl="6" w:tplc="533EE346" w:tentative="1">
      <w:start w:val="1"/>
      <w:numFmt w:val="bullet"/>
      <w:lvlText w:val=""/>
      <w:lvlJc w:val="left"/>
      <w:pPr>
        <w:tabs>
          <w:tab w:val="num" w:pos="5040"/>
        </w:tabs>
        <w:ind w:left="5040" w:hanging="360"/>
      </w:pPr>
      <w:rPr>
        <w:rFonts w:ascii="Wingdings" w:hAnsi="Wingdings" w:hint="default"/>
        <w:sz w:val="20"/>
      </w:rPr>
    </w:lvl>
    <w:lvl w:ilvl="7" w:tplc="80D4B09C" w:tentative="1">
      <w:start w:val="1"/>
      <w:numFmt w:val="bullet"/>
      <w:lvlText w:val=""/>
      <w:lvlJc w:val="left"/>
      <w:pPr>
        <w:tabs>
          <w:tab w:val="num" w:pos="5760"/>
        </w:tabs>
        <w:ind w:left="5760" w:hanging="360"/>
      </w:pPr>
      <w:rPr>
        <w:rFonts w:ascii="Wingdings" w:hAnsi="Wingdings" w:hint="default"/>
        <w:sz w:val="20"/>
      </w:rPr>
    </w:lvl>
    <w:lvl w:ilvl="8" w:tplc="BBC4D360"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8A4406"/>
    <w:multiLevelType w:val="hybridMultilevel"/>
    <w:tmpl w:val="C12C67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B94B05"/>
    <w:multiLevelType w:val="hybridMultilevel"/>
    <w:tmpl w:val="91FC0E34"/>
    <w:lvl w:ilvl="0" w:tplc="65EA1E7A">
      <w:start w:val="5"/>
      <w:numFmt w:val="lowerRoman"/>
      <w:lvlText w:val="%1."/>
      <w:lvlJc w:val="left"/>
      <w:pPr>
        <w:tabs>
          <w:tab w:val="num" w:pos="3060"/>
        </w:tabs>
        <w:ind w:left="3060" w:hanging="90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7" w15:restartNumberingAfterBreak="0">
    <w:nsid w:val="7EFD7F8C"/>
    <w:multiLevelType w:val="hybridMultilevel"/>
    <w:tmpl w:val="0052C77C"/>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246158512">
    <w:abstractNumId w:val="42"/>
  </w:num>
  <w:num w:numId="2" w16cid:durableId="31002893">
    <w:abstractNumId w:val="10"/>
  </w:num>
  <w:num w:numId="3" w16cid:durableId="466750045">
    <w:abstractNumId w:val="39"/>
  </w:num>
  <w:num w:numId="4" w16cid:durableId="780688402">
    <w:abstractNumId w:val="44"/>
  </w:num>
  <w:num w:numId="5" w16cid:durableId="761990099">
    <w:abstractNumId w:val="5"/>
  </w:num>
  <w:num w:numId="6" w16cid:durableId="1713536519">
    <w:abstractNumId w:val="34"/>
  </w:num>
  <w:num w:numId="7" w16cid:durableId="502093058">
    <w:abstractNumId w:val="1"/>
  </w:num>
  <w:num w:numId="8" w16cid:durableId="1137604789">
    <w:abstractNumId w:val="47"/>
  </w:num>
  <w:num w:numId="9" w16cid:durableId="540871217">
    <w:abstractNumId w:val="12"/>
  </w:num>
  <w:num w:numId="10" w16cid:durableId="2072995986">
    <w:abstractNumId w:val="14"/>
  </w:num>
  <w:num w:numId="11" w16cid:durableId="115488916">
    <w:abstractNumId w:val="35"/>
  </w:num>
  <w:num w:numId="12" w16cid:durableId="1100880316">
    <w:abstractNumId w:val="33"/>
  </w:num>
  <w:num w:numId="13" w16cid:durableId="1489831217">
    <w:abstractNumId w:val="46"/>
  </w:num>
  <w:num w:numId="14" w16cid:durableId="285892453">
    <w:abstractNumId w:val="43"/>
  </w:num>
  <w:num w:numId="15" w16cid:durableId="506025121">
    <w:abstractNumId w:val="28"/>
  </w:num>
  <w:num w:numId="16" w16cid:durableId="1490444534">
    <w:abstractNumId w:val="16"/>
  </w:num>
  <w:num w:numId="17" w16cid:durableId="865601405">
    <w:abstractNumId w:val="2"/>
  </w:num>
  <w:num w:numId="18" w16cid:durableId="1433014971">
    <w:abstractNumId w:val="32"/>
  </w:num>
  <w:num w:numId="19" w16cid:durableId="303586033">
    <w:abstractNumId w:val="8"/>
  </w:num>
  <w:num w:numId="20" w16cid:durableId="2039041324">
    <w:abstractNumId w:val="17"/>
  </w:num>
  <w:num w:numId="21" w16cid:durableId="325984984">
    <w:abstractNumId w:val="21"/>
  </w:num>
  <w:num w:numId="22" w16cid:durableId="1193345690">
    <w:abstractNumId w:val="18"/>
  </w:num>
  <w:num w:numId="23" w16cid:durableId="136536779">
    <w:abstractNumId w:val="45"/>
  </w:num>
  <w:num w:numId="24" w16cid:durableId="1678774631">
    <w:abstractNumId w:val="11"/>
  </w:num>
  <w:num w:numId="25" w16cid:durableId="1064136292">
    <w:abstractNumId w:val="38"/>
  </w:num>
  <w:num w:numId="26" w16cid:durableId="1563784236">
    <w:abstractNumId w:val="31"/>
  </w:num>
  <w:num w:numId="27" w16cid:durableId="2065174242">
    <w:abstractNumId w:val="19"/>
  </w:num>
  <w:num w:numId="28" w16cid:durableId="1681814374">
    <w:abstractNumId w:val="20"/>
  </w:num>
  <w:num w:numId="29" w16cid:durableId="1382441643">
    <w:abstractNumId w:val="15"/>
  </w:num>
  <w:num w:numId="30" w16cid:durableId="1212182612">
    <w:abstractNumId w:val="40"/>
  </w:num>
  <w:num w:numId="31" w16cid:durableId="1961109846">
    <w:abstractNumId w:val="29"/>
  </w:num>
  <w:num w:numId="32" w16cid:durableId="1574847848">
    <w:abstractNumId w:val="9"/>
  </w:num>
  <w:num w:numId="33" w16cid:durableId="46226229">
    <w:abstractNumId w:val="4"/>
  </w:num>
  <w:num w:numId="34" w16cid:durableId="957176330">
    <w:abstractNumId w:val="23"/>
  </w:num>
  <w:num w:numId="35" w16cid:durableId="1593121265">
    <w:abstractNumId w:val="6"/>
  </w:num>
  <w:num w:numId="36" w16cid:durableId="234438269">
    <w:abstractNumId w:val="25"/>
  </w:num>
  <w:num w:numId="37" w16cid:durableId="1182627024">
    <w:abstractNumId w:val="27"/>
  </w:num>
  <w:num w:numId="38" w16cid:durableId="1331373054">
    <w:abstractNumId w:val="3"/>
  </w:num>
  <w:num w:numId="39" w16cid:durableId="2120030906">
    <w:abstractNumId w:val="13"/>
  </w:num>
  <w:num w:numId="40" w16cid:durableId="1482229107">
    <w:abstractNumId w:val="22"/>
  </w:num>
  <w:num w:numId="41" w16cid:durableId="1371297733">
    <w:abstractNumId w:val="37"/>
  </w:num>
  <w:num w:numId="42" w16cid:durableId="1707441273">
    <w:abstractNumId w:val="24"/>
  </w:num>
  <w:num w:numId="43" w16cid:durableId="1094739045">
    <w:abstractNumId w:val="7"/>
  </w:num>
  <w:num w:numId="44" w16cid:durableId="1065496123">
    <w:abstractNumId w:val="36"/>
  </w:num>
  <w:num w:numId="45" w16cid:durableId="53551386">
    <w:abstractNumId w:val="30"/>
  </w:num>
  <w:num w:numId="46" w16cid:durableId="237986084">
    <w:abstractNumId w:val="26"/>
  </w:num>
  <w:num w:numId="47" w16cid:durableId="2117212017">
    <w:abstractNumId w:val="0"/>
  </w:num>
  <w:num w:numId="48" w16cid:durableId="72784416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6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M1NbWwNDC1NDK1NDFX0lEKTi0uzszPAykwrgUADlBMYywAAAA="/>
  </w:docVars>
  <w:rsids>
    <w:rsidRoot w:val="00214A20"/>
    <w:rsid w:val="000002A7"/>
    <w:rsid w:val="00001404"/>
    <w:rsid w:val="00001729"/>
    <w:rsid w:val="00006B49"/>
    <w:rsid w:val="00010B74"/>
    <w:rsid w:val="00010CF8"/>
    <w:rsid w:val="00011566"/>
    <w:rsid w:val="00011C71"/>
    <w:rsid w:val="0001266D"/>
    <w:rsid w:val="0001386B"/>
    <w:rsid w:val="00014686"/>
    <w:rsid w:val="0001520C"/>
    <w:rsid w:val="00015915"/>
    <w:rsid w:val="00015BDE"/>
    <w:rsid w:val="00016CB5"/>
    <w:rsid w:val="00020566"/>
    <w:rsid w:val="0002246E"/>
    <w:rsid w:val="00022613"/>
    <w:rsid w:val="00024983"/>
    <w:rsid w:val="000267D8"/>
    <w:rsid w:val="000361A7"/>
    <w:rsid w:val="0003628D"/>
    <w:rsid w:val="00036609"/>
    <w:rsid w:val="00036946"/>
    <w:rsid w:val="00037794"/>
    <w:rsid w:val="00041027"/>
    <w:rsid w:val="000411A8"/>
    <w:rsid w:val="0004585D"/>
    <w:rsid w:val="00047E54"/>
    <w:rsid w:val="000502C2"/>
    <w:rsid w:val="00050911"/>
    <w:rsid w:val="000516CF"/>
    <w:rsid w:val="000526F9"/>
    <w:rsid w:val="00052EC5"/>
    <w:rsid w:val="00056343"/>
    <w:rsid w:val="00057A95"/>
    <w:rsid w:val="00057EC1"/>
    <w:rsid w:val="00060CE0"/>
    <w:rsid w:val="00061751"/>
    <w:rsid w:val="00061EB2"/>
    <w:rsid w:val="00064F0F"/>
    <w:rsid w:val="00067BAC"/>
    <w:rsid w:val="00067D1F"/>
    <w:rsid w:val="000702DE"/>
    <w:rsid w:val="00070FD4"/>
    <w:rsid w:val="00071118"/>
    <w:rsid w:val="00072829"/>
    <w:rsid w:val="00072F0A"/>
    <w:rsid w:val="00073654"/>
    <w:rsid w:val="0007569A"/>
    <w:rsid w:val="00080410"/>
    <w:rsid w:val="00083888"/>
    <w:rsid w:val="00083E45"/>
    <w:rsid w:val="00084097"/>
    <w:rsid w:val="0008443C"/>
    <w:rsid w:val="00084C27"/>
    <w:rsid w:val="00085798"/>
    <w:rsid w:val="00086905"/>
    <w:rsid w:val="00090C07"/>
    <w:rsid w:val="00090CBE"/>
    <w:rsid w:val="0009277A"/>
    <w:rsid w:val="000928D9"/>
    <w:rsid w:val="00093493"/>
    <w:rsid w:val="00094167"/>
    <w:rsid w:val="00094BE2"/>
    <w:rsid w:val="0009623C"/>
    <w:rsid w:val="00096E86"/>
    <w:rsid w:val="000976F0"/>
    <w:rsid w:val="000A3E5F"/>
    <w:rsid w:val="000A4EBC"/>
    <w:rsid w:val="000A614A"/>
    <w:rsid w:val="000A7518"/>
    <w:rsid w:val="000B030C"/>
    <w:rsid w:val="000B0AC8"/>
    <w:rsid w:val="000B338C"/>
    <w:rsid w:val="000B3DA8"/>
    <w:rsid w:val="000B53D0"/>
    <w:rsid w:val="000C0699"/>
    <w:rsid w:val="000C12D9"/>
    <w:rsid w:val="000C1373"/>
    <w:rsid w:val="000C2D8E"/>
    <w:rsid w:val="000C5210"/>
    <w:rsid w:val="000C61C3"/>
    <w:rsid w:val="000C6376"/>
    <w:rsid w:val="000C67D6"/>
    <w:rsid w:val="000C73C0"/>
    <w:rsid w:val="000C7460"/>
    <w:rsid w:val="000D0CBE"/>
    <w:rsid w:val="000D108C"/>
    <w:rsid w:val="000D1DA5"/>
    <w:rsid w:val="000D28D4"/>
    <w:rsid w:val="000D3262"/>
    <w:rsid w:val="000D3CAC"/>
    <w:rsid w:val="000D4CE5"/>
    <w:rsid w:val="000D4E22"/>
    <w:rsid w:val="000D598E"/>
    <w:rsid w:val="000D5CCF"/>
    <w:rsid w:val="000D5F82"/>
    <w:rsid w:val="000D6287"/>
    <w:rsid w:val="000D74EB"/>
    <w:rsid w:val="000D799A"/>
    <w:rsid w:val="000E0B5F"/>
    <w:rsid w:val="000E158F"/>
    <w:rsid w:val="000E2E9E"/>
    <w:rsid w:val="000E5BEF"/>
    <w:rsid w:val="000E71F6"/>
    <w:rsid w:val="000F1A07"/>
    <w:rsid w:val="000F2834"/>
    <w:rsid w:val="000F418C"/>
    <w:rsid w:val="000F618A"/>
    <w:rsid w:val="000F61CF"/>
    <w:rsid w:val="000F68B3"/>
    <w:rsid w:val="001039E8"/>
    <w:rsid w:val="0010524B"/>
    <w:rsid w:val="00105A03"/>
    <w:rsid w:val="00105FCE"/>
    <w:rsid w:val="00110C90"/>
    <w:rsid w:val="00113DD3"/>
    <w:rsid w:val="00120560"/>
    <w:rsid w:val="001239D7"/>
    <w:rsid w:val="00124DA2"/>
    <w:rsid w:val="00125037"/>
    <w:rsid w:val="0012584F"/>
    <w:rsid w:val="001259C8"/>
    <w:rsid w:val="00130297"/>
    <w:rsid w:val="00130EE8"/>
    <w:rsid w:val="00133B00"/>
    <w:rsid w:val="001342D3"/>
    <w:rsid w:val="00134823"/>
    <w:rsid w:val="00135F16"/>
    <w:rsid w:val="00136F01"/>
    <w:rsid w:val="001370CF"/>
    <w:rsid w:val="00141481"/>
    <w:rsid w:val="001418F4"/>
    <w:rsid w:val="001423A9"/>
    <w:rsid w:val="00143187"/>
    <w:rsid w:val="0014417B"/>
    <w:rsid w:val="00144DCB"/>
    <w:rsid w:val="00147FD4"/>
    <w:rsid w:val="00150596"/>
    <w:rsid w:val="00150B6B"/>
    <w:rsid w:val="00150E88"/>
    <w:rsid w:val="00151400"/>
    <w:rsid w:val="001524E4"/>
    <w:rsid w:val="00152942"/>
    <w:rsid w:val="001536BA"/>
    <w:rsid w:val="001551AB"/>
    <w:rsid w:val="00156BA2"/>
    <w:rsid w:val="001620C7"/>
    <w:rsid w:val="00164415"/>
    <w:rsid w:val="0016722B"/>
    <w:rsid w:val="00167B30"/>
    <w:rsid w:val="00170BC7"/>
    <w:rsid w:val="00170D63"/>
    <w:rsid w:val="00171010"/>
    <w:rsid w:val="00171958"/>
    <w:rsid w:val="00171D52"/>
    <w:rsid w:val="00172C1F"/>
    <w:rsid w:val="0017517B"/>
    <w:rsid w:val="00176CA9"/>
    <w:rsid w:val="001814DF"/>
    <w:rsid w:val="0018292E"/>
    <w:rsid w:val="0018309A"/>
    <w:rsid w:val="00183F98"/>
    <w:rsid w:val="0018401C"/>
    <w:rsid w:val="00185A50"/>
    <w:rsid w:val="0018716B"/>
    <w:rsid w:val="001901B2"/>
    <w:rsid w:val="001907BF"/>
    <w:rsid w:val="00190A53"/>
    <w:rsid w:val="00190DAA"/>
    <w:rsid w:val="00192785"/>
    <w:rsid w:val="00194CE1"/>
    <w:rsid w:val="00195A23"/>
    <w:rsid w:val="00196C09"/>
    <w:rsid w:val="00196C3D"/>
    <w:rsid w:val="001A0746"/>
    <w:rsid w:val="001A122A"/>
    <w:rsid w:val="001A3271"/>
    <w:rsid w:val="001A3D0E"/>
    <w:rsid w:val="001A40E4"/>
    <w:rsid w:val="001A42BF"/>
    <w:rsid w:val="001A594B"/>
    <w:rsid w:val="001A6102"/>
    <w:rsid w:val="001A63F4"/>
    <w:rsid w:val="001A7A17"/>
    <w:rsid w:val="001C02DA"/>
    <w:rsid w:val="001C0D3F"/>
    <w:rsid w:val="001C156D"/>
    <w:rsid w:val="001C1686"/>
    <w:rsid w:val="001C2FC7"/>
    <w:rsid w:val="001C3C13"/>
    <w:rsid w:val="001C41E7"/>
    <w:rsid w:val="001C4EDC"/>
    <w:rsid w:val="001C6290"/>
    <w:rsid w:val="001C6A56"/>
    <w:rsid w:val="001C6DFB"/>
    <w:rsid w:val="001C76C5"/>
    <w:rsid w:val="001C7BB3"/>
    <w:rsid w:val="001D0AC4"/>
    <w:rsid w:val="001D0E2C"/>
    <w:rsid w:val="001D282D"/>
    <w:rsid w:val="001D5165"/>
    <w:rsid w:val="001D5493"/>
    <w:rsid w:val="001D5F0D"/>
    <w:rsid w:val="001D6AD1"/>
    <w:rsid w:val="001D7444"/>
    <w:rsid w:val="001E19D1"/>
    <w:rsid w:val="001E6370"/>
    <w:rsid w:val="001F1FA8"/>
    <w:rsid w:val="001F4422"/>
    <w:rsid w:val="001F50AC"/>
    <w:rsid w:val="001F6169"/>
    <w:rsid w:val="001F6E36"/>
    <w:rsid w:val="002014EF"/>
    <w:rsid w:val="00201D6A"/>
    <w:rsid w:val="002040C1"/>
    <w:rsid w:val="00204831"/>
    <w:rsid w:val="00204E4A"/>
    <w:rsid w:val="00205866"/>
    <w:rsid w:val="00205FC4"/>
    <w:rsid w:val="00206906"/>
    <w:rsid w:val="002100BF"/>
    <w:rsid w:val="002100CC"/>
    <w:rsid w:val="00213297"/>
    <w:rsid w:val="002134AD"/>
    <w:rsid w:val="002137E7"/>
    <w:rsid w:val="0021390D"/>
    <w:rsid w:val="002143E3"/>
    <w:rsid w:val="00214A20"/>
    <w:rsid w:val="00215E03"/>
    <w:rsid w:val="00216F2F"/>
    <w:rsid w:val="002233CC"/>
    <w:rsid w:val="00224389"/>
    <w:rsid w:val="002251E0"/>
    <w:rsid w:val="00226959"/>
    <w:rsid w:val="00227903"/>
    <w:rsid w:val="00227B64"/>
    <w:rsid w:val="0023318C"/>
    <w:rsid w:val="00233E52"/>
    <w:rsid w:val="00233F1F"/>
    <w:rsid w:val="00235EB6"/>
    <w:rsid w:val="00241B31"/>
    <w:rsid w:val="00241DAB"/>
    <w:rsid w:val="002421FA"/>
    <w:rsid w:val="0024347B"/>
    <w:rsid w:val="00243E36"/>
    <w:rsid w:val="00243E51"/>
    <w:rsid w:val="002442B4"/>
    <w:rsid w:val="00244D2A"/>
    <w:rsid w:val="002452AB"/>
    <w:rsid w:val="00246998"/>
    <w:rsid w:val="002472C8"/>
    <w:rsid w:val="002512D1"/>
    <w:rsid w:val="002529B4"/>
    <w:rsid w:val="002538F9"/>
    <w:rsid w:val="00254F7A"/>
    <w:rsid w:val="0025592C"/>
    <w:rsid w:val="0025647A"/>
    <w:rsid w:val="00256685"/>
    <w:rsid w:val="002569C0"/>
    <w:rsid w:val="00257FD8"/>
    <w:rsid w:val="00260521"/>
    <w:rsid w:val="002609B7"/>
    <w:rsid w:val="00261DB1"/>
    <w:rsid w:val="0026327D"/>
    <w:rsid w:val="002640F0"/>
    <w:rsid w:val="00264A83"/>
    <w:rsid w:val="002653A5"/>
    <w:rsid w:val="002654E9"/>
    <w:rsid w:val="00267263"/>
    <w:rsid w:val="00267CB5"/>
    <w:rsid w:val="002704F2"/>
    <w:rsid w:val="00270BAF"/>
    <w:rsid w:val="002742CD"/>
    <w:rsid w:val="00274BA9"/>
    <w:rsid w:val="0027561A"/>
    <w:rsid w:val="0028330F"/>
    <w:rsid w:val="00284483"/>
    <w:rsid w:val="00284F0F"/>
    <w:rsid w:val="00285962"/>
    <w:rsid w:val="00285C37"/>
    <w:rsid w:val="002907E1"/>
    <w:rsid w:val="002914D1"/>
    <w:rsid w:val="0029210D"/>
    <w:rsid w:val="002933E1"/>
    <w:rsid w:val="00293AC8"/>
    <w:rsid w:val="00294E5B"/>
    <w:rsid w:val="002951E9"/>
    <w:rsid w:val="0029674D"/>
    <w:rsid w:val="002A2760"/>
    <w:rsid w:val="002A3F5F"/>
    <w:rsid w:val="002A423E"/>
    <w:rsid w:val="002A5A01"/>
    <w:rsid w:val="002A5CB3"/>
    <w:rsid w:val="002A62D5"/>
    <w:rsid w:val="002B23E1"/>
    <w:rsid w:val="002B243E"/>
    <w:rsid w:val="002B39E3"/>
    <w:rsid w:val="002B4124"/>
    <w:rsid w:val="002B4982"/>
    <w:rsid w:val="002B51B2"/>
    <w:rsid w:val="002B6ED9"/>
    <w:rsid w:val="002B7291"/>
    <w:rsid w:val="002B7D95"/>
    <w:rsid w:val="002B7E34"/>
    <w:rsid w:val="002B7F0B"/>
    <w:rsid w:val="002C03D8"/>
    <w:rsid w:val="002C40EE"/>
    <w:rsid w:val="002C47F0"/>
    <w:rsid w:val="002D181D"/>
    <w:rsid w:val="002D199B"/>
    <w:rsid w:val="002D2C0A"/>
    <w:rsid w:val="002D35D9"/>
    <w:rsid w:val="002D56E2"/>
    <w:rsid w:val="002D754E"/>
    <w:rsid w:val="002D7C69"/>
    <w:rsid w:val="002E14C4"/>
    <w:rsid w:val="002E1D35"/>
    <w:rsid w:val="002E2B34"/>
    <w:rsid w:val="002E2ED5"/>
    <w:rsid w:val="002E3961"/>
    <w:rsid w:val="002E3CA5"/>
    <w:rsid w:val="002E5A78"/>
    <w:rsid w:val="002E5C9F"/>
    <w:rsid w:val="002E5FF7"/>
    <w:rsid w:val="002E7F2D"/>
    <w:rsid w:val="002F0940"/>
    <w:rsid w:val="002F1449"/>
    <w:rsid w:val="002F1E32"/>
    <w:rsid w:val="002F24AE"/>
    <w:rsid w:val="002F2739"/>
    <w:rsid w:val="002F2B33"/>
    <w:rsid w:val="002F4378"/>
    <w:rsid w:val="00300889"/>
    <w:rsid w:val="0030103C"/>
    <w:rsid w:val="0030158E"/>
    <w:rsid w:val="00302661"/>
    <w:rsid w:val="00303021"/>
    <w:rsid w:val="00303AC9"/>
    <w:rsid w:val="0030592F"/>
    <w:rsid w:val="00305DAD"/>
    <w:rsid w:val="00306750"/>
    <w:rsid w:val="00307433"/>
    <w:rsid w:val="00307EAC"/>
    <w:rsid w:val="00310416"/>
    <w:rsid w:val="00311BBC"/>
    <w:rsid w:val="00311EC9"/>
    <w:rsid w:val="003121AE"/>
    <w:rsid w:val="00312CC7"/>
    <w:rsid w:val="00312E13"/>
    <w:rsid w:val="003150CD"/>
    <w:rsid w:val="003158F7"/>
    <w:rsid w:val="00316E6C"/>
    <w:rsid w:val="0031705E"/>
    <w:rsid w:val="00317DDF"/>
    <w:rsid w:val="003204B8"/>
    <w:rsid w:val="00320964"/>
    <w:rsid w:val="003214C1"/>
    <w:rsid w:val="00321870"/>
    <w:rsid w:val="00322B3D"/>
    <w:rsid w:val="00323635"/>
    <w:rsid w:val="00325595"/>
    <w:rsid w:val="003260D4"/>
    <w:rsid w:val="00326CC8"/>
    <w:rsid w:val="00326FF9"/>
    <w:rsid w:val="003325B0"/>
    <w:rsid w:val="00332D8F"/>
    <w:rsid w:val="003342FC"/>
    <w:rsid w:val="00334C5F"/>
    <w:rsid w:val="00335CED"/>
    <w:rsid w:val="00335DFF"/>
    <w:rsid w:val="00336737"/>
    <w:rsid w:val="003418AF"/>
    <w:rsid w:val="00342421"/>
    <w:rsid w:val="0034448D"/>
    <w:rsid w:val="00345E7A"/>
    <w:rsid w:val="003472FC"/>
    <w:rsid w:val="003503B9"/>
    <w:rsid w:val="00350799"/>
    <w:rsid w:val="0035275D"/>
    <w:rsid w:val="00352797"/>
    <w:rsid w:val="00353B81"/>
    <w:rsid w:val="0035537B"/>
    <w:rsid w:val="00355D71"/>
    <w:rsid w:val="00356B1B"/>
    <w:rsid w:val="003608A3"/>
    <w:rsid w:val="0036100F"/>
    <w:rsid w:val="00361B8C"/>
    <w:rsid w:val="00361C71"/>
    <w:rsid w:val="00361E29"/>
    <w:rsid w:val="003656B7"/>
    <w:rsid w:val="00365E87"/>
    <w:rsid w:val="00366A0C"/>
    <w:rsid w:val="00366BD4"/>
    <w:rsid w:val="003700D4"/>
    <w:rsid w:val="00371D97"/>
    <w:rsid w:val="00375CDD"/>
    <w:rsid w:val="00375D9E"/>
    <w:rsid w:val="00376621"/>
    <w:rsid w:val="00380313"/>
    <w:rsid w:val="00381126"/>
    <w:rsid w:val="00383008"/>
    <w:rsid w:val="003830E7"/>
    <w:rsid w:val="00383961"/>
    <w:rsid w:val="00383FD9"/>
    <w:rsid w:val="00384888"/>
    <w:rsid w:val="00386405"/>
    <w:rsid w:val="00391EAC"/>
    <w:rsid w:val="00392FB7"/>
    <w:rsid w:val="00394CCE"/>
    <w:rsid w:val="00395317"/>
    <w:rsid w:val="00395B05"/>
    <w:rsid w:val="00397823"/>
    <w:rsid w:val="003A1AAC"/>
    <w:rsid w:val="003A1BB4"/>
    <w:rsid w:val="003A28FD"/>
    <w:rsid w:val="003A40E7"/>
    <w:rsid w:val="003A4B2A"/>
    <w:rsid w:val="003A5FCC"/>
    <w:rsid w:val="003A63B6"/>
    <w:rsid w:val="003A6FAF"/>
    <w:rsid w:val="003B0645"/>
    <w:rsid w:val="003B2522"/>
    <w:rsid w:val="003B5077"/>
    <w:rsid w:val="003B5125"/>
    <w:rsid w:val="003B5543"/>
    <w:rsid w:val="003B5808"/>
    <w:rsid w:val="003B61A1"/>
    <w:rsid w:val="003B7608"/>
    <w:rsid w:val="003C0E34"/>
    <w:rsid w:val="003C0F9E"/>
    <w:rsid w:val="003C1FF2"/>
    <w:rsid w:val="003C219F"/>
    <w:rsid w:val="003C21F3"/>
    <w:rsid w:val="003C2AAE"/>
    <w:rsid w:val="003C2BCC"/>
    <w:rsid w:val="003C3A5A"/>
    <w:rsid w:val="003C3C08"/>
    <w:rsid w:val="003C3D5A"/>
    <w:rsid w:val="003C4A62"/>
    <w:rsid w:val="003C51B9"/>
    <w:rsid w:val="003C53C6"/>
    <w:rsid w:val="003D33E1"/>
    <w:rsid w:val="003D41E2"/>
    <w:rsid w:val="003D5CF2"/>
    <w:rsid w:val="003D63B0"/>
    <w:rsid w:val="003D6A2E"/>
    <w:rsid w:val="003E2710"/>
    <w:rsid w:val="003E4E89"/>
    <w:rsid w:val="003E5161"/>
    <w:rsid w:val="003F077A"/>
    <w:rsid w:val="003F1D0D"/>
    <w:rsid w:val="003F335B"/>
    <w:rsid w:val="003F417D"/>
    <w:rsid w:val="003F4550"/>
    <w:rsid w:val="003F505A"/>
    <w:rsid w:val="003F5B77"/>
    <w:rsid w:val="004027E1"/>
    <w:rsid w:val="00402E50"/>
    <w:rsid w:val="00403250"/>
    <w:rsid w:val="0040335A"/>
    <w:rsid w:val="00404AB3"/>
    <w:rsid w:val="004054B1"/>
    <w:rsid w:val="00405D1B"/>
    <w:rsid w:val="00405D53"/>
    <w:rsid w:val="004062C5"/>
    <w:rsid w:val="00407F99"/>
    <w:rsid w:val="0041011B"/>
    <w:rsid w:val="00415990"/>
    <w:rsid w:val="00417B89"/>
    <w:rsid w:val="00421C18"/>
    <w:rsid w:val="004233EF"/>
    <w:rsid w:val="00423EE2"/>
    <w:rsid w:val="004243C4"/>
    <w:rsid w:val="0042498C"/>
    <w:rsid w:val="00425F20"/>
    <w:rsid w:val="004277A0"/>
    <w:rsid w:val="00427B73"/>
    <w:rsid w:val="0043134F"/>
    <w:rsid w:val="00431B4D"/>
    <w:rsid w:val="00431D41"/>
    <w:rsid w:val="00437B32"/>
    <w:rsid w:val="00441355"/>
    <w:rsid w:val="00444468"/>
    <w:rsid w:val="0044575A"/>
    <w:rsid w:val="0044589E"/>
    <w:rsid w:val="00446F36"/>
    <w:rsid w:val="0044736E"/>
    <w:rsid w:val="004476BA"/>
    <w:rsid w:val="004502BE"/>
    <w:rsid w:val="004513B3"/>
    <w:rsid w:val="00451C11"/>
    <w:rsid w:val="004551EA"/>
    <w:rsid w:val="00456262"/>
    <w:rsid w:val="00456365"/>
    <w:rsid w:val="00456EDA"/>
    <w:rsid w:val="00457681"/>
    <w:rsid w:val="004605FB"/>
    <w:rsid w:val="004608CD"/>
    <w:rsid w:val="00460BF5"/>
    <w:rsid w:val="00462BED"/>
    <w:rsid w:val="00462E43"/>
    <w:rsid w:val="00463C8C"/>
    <w:rsid w:val="0046423B"/>
    <w:rsid w:val="0046729F"/>
    <w:rsid w:val="0046778C"/>
    <w:rsid w:val="00471BDE"/>
    <w:rsid w:val="0047499D"/>
    <w:rsid w:val="00477D96"/>
    <w:rsid w:val="00480AF9"/>
    <w:rsid w:val="00480F1A"/>
    <w:rsid w:val="00481284"/>
    <w:rsid w:val="004812B3"/>
    <w:rsid w:val="0048228D"/>
    <w:rsid w:val="00483FA9"/>
    <w:rsid w:val="00486DDF"/>
    <w:rsid w:val="00487D23"/>
    <w:rsid w:val="00496E82"/>
    <w:rsid w:val="004A0EC0"/>
    <w:rsid w:val="004A1EBA"/>
    <w:rsid w:val="004A2B1B"/>
    <w:rsid w:val="004A5060"/>
    <w:rsid w:val="004A54A8"/>
    <w:rsid w:val="004A59A3"/>
    <w:rsid w:val="004A6DC0"/>
    <w:rsid w:val="004B1405"/>
    <w:rsid w:val="004B2824"/>
    <w:rsid w:val="004B2C5C"/>
    <w:rsid w:val="004B2DE1"/>
    <w:rsid w:val="004B35AA"/>
    <w:rsid w:val="004C0960"/>
    <w:rsid w:val="004C0DCB"/>
    <w:rsid w:val="004C1D09"/>
    <w:rsid w:val="004C1D62"/>
    <w:rsid w:val="004C4436"/>
    <w:rsid w:val="004C4624"/>
    <w:rsid w:val="004C6E19"/>
    <w:rsid w:val="004C7E0F"/>
    <w:rsid w:val="004D0AA0"/>
    <w:rsid w:val="004D227C"/>
    <w:rsid w:val="004D55AF"/>
    <w:rsid w:val="004D7227"/>
    <w:rsid w:val="004D797B"/>
    <w:rsid w:val="004D7D28"/>
    <w:rsid w:val="004E0013"/>
    <w:rsid w:val="004E04EF"/>
    <w:rsid w:val="004E086D"/>
    <w:rsid w:val="004E14B8"/>
    <w:rsid w:val="004E249D"/>
    <w:rsid w:val="004E2BC5"/>
    <w:rsid w:val="004E619D"/>
    <w:rsid w:val="004F2035"/>
    <w:rsid w:val="004F247F"/>
    <w:rsid w:val="004F2AE3"/>
    <w:rsid w:val="004F3C05"/>
    <w:rsid w:val="004F402D"/>
    <w:rsid w:val="004F4241"/>
    <w:rsid w:val="004F5538"/>
    <w:rsid w:val="004F5734"/>
    <w:rsid w:val="004F5B91"/>
    <w:rsid w:val="004F675F"/>
    <w:rsid w:val="00502DBE"/>
    <w:rsid w:val="00507B00"/>
    <w:rsid w:val="005119ED"/>
    <w:rsid w:val="005120E0"/>
    <w:rsid w:val="0051299E"/>
    <w:rsid w:val="00513617"/>
    <w:rsid w:val="00515013"/>
    <w:rsid w:val="00515352"/>
    <w:rsid w:val="0051558F"/>
    <w:rsid w:val="0051713B"/>
    <w:rsid w:val="00523155"/>
    <w:rsid w:val="00530148"/>
    <w:rsid w:val="00531039"/>
    <w:rsid w:val="00532793"/>
    <w:rsid w:val="005348EC"/>
    <w:rsid w:val="0053527A"/>
    <w:rsid w:val="00536B4D"/>
    <w:rsid w:val="00537E5A"/>
    <w:rsid w:val="00543D82"/>
    <w:rsid w:val="005446EF"/>
    <w:rsid w:val="00544E85"/>
    <w:rsid w:val="00545C07"/>
    <w:rsid w:val="00546FF2"/>
    <w:rsid w:val="00547C26"/>
    <w:rsid w:val="00550AA4"/>
    <w:rsid w:val="0055488B"/>
    <w:rsid w:val="00555650"/>
    <w:rsid w:val="0055756F"/>
    <w:rsid w:val="005609F6"/>
    <w:rsid w:val="005610B4"/>
    <w:rsid w:val="00562369"/>
    <w:rsid w:val="00563F6F"/>
    <w:rsid w:val="0056427C"/>
    <w:rsid w:val="00564704"/>
    <w:rsid w:val="00566D13"/>
    <w:rsid w:val="00571D6D"/>
    <w:rsid w:val="005727E5"/>
    <w:rsid w:val="0057348B"/>
    <w:rsid w:val="005736DD"/>
    <w:rsid w:val="00573F80"/>
    <w:rsid w:val="00575B1A"/>
    <w:rsid w:val="00576C7D"/>
    <w:rsid w:val="00580484"/>
    <w:rsid w:val="005808E3"/>
    <w:rsid w:val="005837FB"/>
    <w:rsid w:val="00584ED6"/>
    <w:rsid w:val="00585515"/>
    <w:rsid w:val="005869C7"/>
    <w:rsid w:val="00587B0D"/>
    <w:rsid w:val="005A1281"/>
    <w:rsid w:val="005A3D83"/>
    <w:rsid w:val="005A4702"/>
    <w:rsid w:val="005A4E44"/>
    <w:rsid w:val="005A4F25"/>
    <w:rsid w:val="005A52A2"/>
    <w:rsid w:val="005A5314"/>
    <w:rsid w:val="005A61AF"/>
    <w:rsid w:val="005A7A79"/>
    <w:rsid w:val="005B0EEF"/>
    <w:rsid w:val="005B1070"/>
    <w:rsid w:val="005B2D94"/>
    <w:rsid w:val="005B3BAB"/>
    <w:rsid w:val="005B4487"/>
    <w:rsid w:val="005C15F5"/>
    <w:rsid w:val="005C20A7"/>
    <w:rsid w:val="005C3767"/>
    <w:rsid w:val="005C3A03"/>
    <w:rsid w:val="005C5823"/>
    <w:rsid w:val="005C7AD6"/>
    <w:rsid w:val="005C7D97"/>
    <w:rsid w:val="005D2621"/>
    <w:rsid w:val="005D3E7D"/>
    <w:rsid w:val="005D4E0D"/>
    <w:rsid w:val="005D55FF"/>
    <w:rsid w:val="005D68A4"/>
    <w:rsid w:val="005D7884"/>
    <w:rsid w:val="005D7CE7"/>
    <w:rsid w:val="005E0A88"/>
    <w:rsid w:val="005E1725"/>
    <w:rsid w:val="005E2493"/>
    <w:rsid w:val="005E2B96"/>
    <w:rsid w:val="005E2BF5"/>
    <w:rsid w:val="005E702B"/>
    <w:rsid w:val="005E7B2D"/>
    <w:rsid w:val="005F0552"/>
    <w:rsid w:val="005F1DF1"/>
    <w:rsid w:val="005F27B0"/>
    <w:rsid w:val="005F2A46"/>
    <w:rsid w:val="005F3658"/>
    <w:rsid w:val="005F47D9"/>
    <w:rsid w:val="005F5098"/>
    <w:rsid w:val="005F528F"/>
    <w:rsid w:val="005F551B"/>
    <w:rsid w:val="005F6AE6"/>
    <w:rsid w:val="0060365F"/>
    <w:rsid w:val="00604A44"/>
    <w:rsid w:val="00607F7B"/>
    <w:rsid w:val="006109AD"/>
    <w:rsid w:val="0061145F"/>
    <w:rsid w:val="00612187"/>
    <w:rsid w:val="006139C1"/>
    <w:rsid w:val="006147F8"/>
    <w:rsid w:val="006151AE"/>
    <w:rsid w:val="00615788"/>
    <w:rsid w:val="00615F1C"/>
    <w:rsid w:val="00616837"/>
    <w:rsid w:val="00620DD4"/>
    <w:rsid w:val="00620E5E"/>
    <w:rsid w:val="00621204"/>
    <w:rsid w:val="00621E28"/>
    <w:rsid w:val="00623E7B"/>
    <w:rsid w:val="00624360"/>
    <w:rsid w:val="006251D7"/>
    <w:rsid w:val="00626C0E"/>
    <w:rsid w:val="00630318"/>
    <w:rsid w:val="006304AC"/>
    <w:rsid w:val="006353AF"/>
    <w:rsid w:val="00635A0E"/>
    <w:rsid w:val="00637B96"/>
    <w:rsid w:val="00640646"/>
    <w:rsid w:val="00643FA7"/>
    <w:rsid w:val="006466B3"/>
    <w:rsid w:val="00647822"/>
    <w:rsid w:val="00653597"/>
    <w:rsid w:val="00653947"/>
    <w:rsid w:val="00653F38"/>
    <w:rsid w:val="006540EB"/>
    <w:rsid w:val="00655D35"/>
    <w:rsid w:val="00656BD7"/>
    <w:rsid w:val="00657FC9"/>
    <w:rsid w:val="006615F3"/>
    <w:rsid w:val="00662675"/>
    <w:rsid w:val="0066555A"/>
    <w:rsid w:val="006660D1"/>
    <w:rsid w:val="00670567"/>
    <w:rsid w:val="00670E97"/>
    <w:rsid w:val="00671163"/>
    <w:rsid w:val="00671E1A"/>
    <w:rsid w:val="00675527"/>
    <w:rsid w:val="0067587F"/>
    <w:rsid w:val="0067759A"/>
    <w:rsid w:val="00680C13"/>
    <w:rsid w:val="00680DCE"/>
    <w:rsid w:val="00684AB0"/>
    <w:rsid w:val="00685C69"/>
    <w:rsid w:val="00686D28"/>
    <w:rsid w:val="00687125"/>
    <w:rsid w:val="006878B8"/>
    <w:rsid w:val="006928AD"/>
    <w:rsid w:val="0069342B"/>
    <w:rsid w:val="006974FC"/>
    <w:rsid w:val="006A031D"/>
    <w:rsid w:val="006A06E7"/>
    <w:rsid w:val="006A134F"/>
    <w:rsid w:val="006A5443"/>
    <w:rsid w:val="006A6837"/>
    <w:rsid w:val="006A6C25"/>
    <w:rsid w:val="006A710A"/>
    <w:rsid w:val="006A736E"/>
    <w:rsid w:val="006B1A3C"/>
    <w:rsid w:val="006B1E66"/>
    <w:rsid w:val="006B2C29"/>
    <w:rsid w:val="006B3B0C"/>
    <w:rsid w:val="006B6042"/>
    <w:rsid w:val="006B6B37"/>
    <w:rsid w:val="006B6B43"/>
    <w:rsid w:val="006B6FAA"/>
    <w:rsid w:val="006B75AB"/>
    <w:rsid w:val="006C2FE2"/>
    <w:rsid w:val="006C6DF4"/>
    <w:rsid w:val="006C72AE"/>
    <w:rsid w:val="006C7543"/>
    <w:rsid w:val="006D1BC7"/>
    <w:rsid w:val="006D206F"/>
    <w:rsid w:val="006D3353"/>
    <w:rsid w:val="006D38B8"/>
    <w:rsid w:val="006D580C"/>
    <w:rsid w:val="006D5C7F"/>
    <w:rsid w:val="006D6948"/>
    <w:rsid w:val="006E02DD"/>
    <w:rsid w:val="006E2BCD"/>
    <w:rsid w:val="006E3606"/>
    <w:rsid w:val="006E42CF"/>
    <w:rsid w:val="006E45E7"/>
    <w:rsid w:val="006F030F"/>
    <w:rsid w:val="006F08A3"/>
    <w:rsid w:val="006F08F1"/>
    <w:rsid w:val="006F25F0"/>
    <w:rsid w:val="006F4664"/>
    <w:rsid w:val="006F488F"/>
    <w:rsid w:val="006F510A"/>
    <w:rsid w:val="006F5641"/>
    <w:rsid w:val="006F7380"/>
    <w:rsid w:val="00700195"/>
    <w:rsid w:val="00710411"/>
    <w:rsid w:val="007109A8"/>
    <w:rsid w:val="00710B74"/>
    <w:rsid w:val="007110C4"/>
    <w:rsid w:val="0071215C"/>
    <w:rsid w:val="00712237"/>
    <w:rsid w:val="0071225F"/>
    <w:rsid w:val="00713F89"/>
    <w:rsid w:val="00714110"/>
    <w:rsid w:val="00714DBB"/>
    <w:rsid w:val="007150C3"/>
    <w:rsid w:val="007158F1"/>
    <w:rsid w:val="00716985"/>
    <w:rsid w:val="00720227"/>
    <w:rsid w:val="00720EF6"/>
    <w:rsid w:val="0072369C"/>
    <w:rsid w:val="00723701"/>
    <w:rsid w:val="007238BA"/>
    <w:rsid w:val="00723C48"/>
    <w:rsid w:val="007244D0"/>
    <w:rsid w:val="00724AA8"/>
    <w:rsid w:val="007274C1"/>
    <w:rsid w:val="00727C8C"/>
    <w:rsid w:val="00731B7C"/>
    <w:rsid w:val="007329EA"/>
    <w:rsid w:val="007346A6"/>
    <w:rsid w:val="00740ABE"/>
    <w:rsid w:val="0074262D"/>
    <w:rsid w:val="0074399E"/>
    <w:rsid w:val="00743FDA"/>
    <w:rsid w:val="00744035"/>
    <w:rsid w:val="0074706E"/>
    <w:rsid w:val="00747377"/>
    <w:rsid w:val="00747F41"/>
    <w:rsid w:val="0075011E"/>
    <w:rsid w:val="007538A7"/>
    <w:rsid w:val="0075399A"/>
    <w:rsid w:val="00756CDB"/>
    <w:rsid w:val="0076346C"/>
    <w:rsid w:val="007634B7"/>
    <w:rsid w:val="00765166"/>
    <w:rsid w:val="00765780"/>
    <w:rsid w:val="0076586C"/>
    <w:rsid w:val="007660FB"/>
    <w:rsid w:val="0076798E"/>
    <w:rsid w:val="00767AA0"/>
    <w:rsid w:val="00771D6F"/>
    <w:rsid w:val="00772309"/>
    <w:rsid w:val="00773D26"/>
    <w:rsid w:val="00773FCB"/>
    <w:rsid w:val="00776F67"/>
    <w:rsid w:val="00780233"/>
    <w:rsid w:val="007803F5"/>
    <w:rsid w:val="00780AD2"/>
    <w:rsid w:val="00781DE6"/>
    <w:rsid w:val="007835D0"/>
    <w:rsid w:val="0078421E"/>
    <w:rsid w:val="00786408"/>
    <w:rsid w:val="00786574"/>
    <w:rsid w:val="007868DD"/>
    <w:rsid w:val="00786C55"/>
    <w:rsid w:val="00786EBD"/>
    <w:rsid w:val="00787FD2"/>
    <w:rsid w:val="00790104"/>
    <w:rsid w:val="00790256"/>
    <w:rsid w:val="00790872"/>
    <w:rsid w:val="0079176B"/>
    <w:rsid w:val="007924EA"/>
    <w:rsid w:val="00792673"/>
    <w:rsid w:val="00795DB4"/>
    <w:rsid w:val="00796EDB"/>
    <w:rsid w:val="00797C0A"/>
    <w:rsid w:val="007A0A7F"/>
    <w:rsid w:val="007A1AAB"/>
    <w:rsid w:val="007A2101"/>
    <w:rsid w:val="007A2114"/>
    <w:rsid w:val="007A2B46"/>
    <w:rsid w:val="007A3178"/>
    <w:rsid w:val="007B11A6"/>
    <w:rsid w:val="007B3C73"/>
    <w:rsid w:val="007B4FEE"/>
    <w:rsid w:val="007B58A2"/>
    <w:rsid w:val="007B5E5D"/>
    <w:rsid w:val="007B64A4"/>
    <w:rsid w:val="007B72F4"/>
    <w:rsid w:val="007C0EFA"/>
    <w:rsid w:val="007C12BC"/>
    <w:rsid w:val="007C4709"/>
    <w:rsid w:val="007C5141"/>
    <w:rsid w:val="007C5F04"/>
    <w:rsid w:val="007C6F37"/>
    <w:rsid w:val="007C6F7C"/>
    <w:rsid w:val="007C7B26"/>
    <w:rsid w:val="007C7FBF"/>
    <w:rsid w:val="007D1A43"/>
    <w:rsid w:val="007D3D95"/>
    <w:rsid w:val="007D545A"/>
    <w:rsid w:val="007D5F1C"/>
    <w:rsid w:val="007D78F7"/>
    <w:rsid w:val="007E01AF"/>
    <w:rsid w:val="007E0260"/>
    <w:rsid w:val="007E29B0"/>
    <w:rsid w:val="007E2DD2"/>
    <w:rsid w:val="007E35AD"/>
    <w:rsid w:val="007E4B60"/>
    <w:rsid w:val="007E57E5"/>
    <w:rsid w:val="007E5C0B"/>
    <w:rsid w:val="007F0E26"/>
    <w:rsid w:val="007F2457"/>
    <w:rsid w:val="007F2DD2"/>
    <w:rsid w:val="007F3242"/>
    <w:rsid w:val="007F3E6D"/>
    <w:rsid w:val="007F411C"/>
    <w:rsid w:val="007F55FF"/>
    <w:rsid w:val="007F7C95"/>
    <w:rsid w:val="008003D9"/>
    <w:rsid w:val="008005BA"/>
    <w:rsid w:val="008006B7"/>
    <w:rsid w:val="008028FC"/>
    <w:rsid w:val="00802B5F"/>
    <w:rsid w:val="00802F8C"/>
    <w:rsid w:val="00804D9D"/>
    <w:rsid w:val="008135CC"/>
    <w:rsid w:val="0081424D"/>
    <w:rsid w:val="0081551C"/>
    <w:rsid w:val="00816D5D"/>
    <w:rsid w:val="00817438"/>
    <w:rsid w:val="008203DF"/>
    <w:rsid w:val="00820FB8"/>
    <w:rsid w:val="00822870"/>
    <w:rsid w:val="00823FD4"/>
    <w:rsid w:val="0082637E"/>
    <w:rsid w:val="00827F0A"/>
    <w:rsid w:val="008302B4"/>
    <w:rsid w:val="00830306"/>
    <w:rsid w:val="008344CB"/>
    <w:rsid w:val="008356E6"/>
    <w:rsid w:val="00841765"/>
    <w:rsid w:val="008420EE"/>
    <w:rsid w:val="0084296E"/>
    <w:rsid w:val="00844B01"/>
    <w:rsid w:val="0084611C"/>
    <w:rsid w:val="00846381"/>
    <w:rsid w:val="00846AD8"/>
    <w:rsid w:val="00847DB0"/>
    <w:rsid w:val="00850083"/>
    <w:rsid w:val="0085031A"/>
    <w:rsid w:val="0085120C"/>
    <w:rsid w:val="00853719"/>
    <w:rsid w:val="00860093"/>
    <w:rsid w:val="008613D6"/>
    <w:rsid w:val="00861D4A"/>
    <w:rsid w:val="00862035"/>
    <w:rsid w:val="00864A07"/>
    <w:rsid w:val="00866BC9"/>
    <w:rsid w:val="00866D55"/>
    <w:rsid w:val="008671DA"/>
    <w:rsid w:val="0087057D"/>
    <w:rsid w:val="00870661"/>
    <w:rsid w:val="008711B5"/>
    <w:rsid w:val="008726A2"/>
    <w:rsid w:val="00872751"/>
    <w:rsid w:val="00872EF1"/>
    <w:rsid w:val="00874572"/>
    <w:rsid w:val="0088142C"/>
    <w:rsid w:val="00883B65"/>
    <w:rsid w:val="00883EF6"/>
    <w:rsid w:val="00884564"/>
    <w:rsid w:val="008855E0"/>
    <w:rsid w:val="00885911"/>
    <w:rsid w:val="00885D4A"/>
    <w:rsid w:val="0088767C"/>
    <w:rsid w:val="0088778C"/>
    <w:rsid w:val="00887790"/>
    <w:rsid w:val="0089462A"/>
    <w:rsid w:val="00895B23"/>
    <w:rsid w:val="008A0DBB"/>
    <w:rsid w:val="008A1FBC"/>
    <w:rsid w:val="008A268F"/>
    <w:rsid w:val="008A29F6"/>
    <w:rsid w:val="008A2CD8"/>
    <w:rsid w:val="008A4776"/>
    <w:rsid w:val="008A56D8"/>
    <w:rsid w:val="008A676A"/>
    <w:rsid w:val="008A7CFE"/>
    <w:rsid w:val="008B2A5D"/>
    <w:rsid w:val="008B333C"/>
    <w:rsid w:val="008B482C"/>
    <w:rsid w:val="008B58E6"/>
    <w:rsid w:val="008B5A5E"/>
    <w:rsid w:val="008C01E6"/>
    <w:rsid w:val="008C0C1F"/>
    <w:rsid w:val="008C3D54"/>
    <w:rsid w:val="008C45F1"/>
    <w:rsid w:val="008C7AC5"/>
    <w:rsid w:val="008D06BE"/>
    <w:rsid w:val="008D111D"/>
    <w:rsid w:val="008D3477"/>
    <w:rsid w:val="008D4B8E"/>
    <w:rsid w:val="008D6945"/>
    <w:rsid w:val="008E09E6"/>
    <w:rsid w:val="008E1F82"/>
    <w:rsid w:val="008E30EC"/>
    <w:rsid w:val="008E3BA7"/>
    <w:rsid w:val="008E3D1C"/>
    <w:rsid w:val="008E52F3"/>
    <w:rsid w:val="008E7CFB"/>
    <w:rsid w:val="008E7D31"/>
    <w:rsid w:val="008F101D"/>
    <w:rsid w:val="008F1816"/>
    <w:rsid w:val="008F22B9"/>
    <w:rsid w:val="008F25E6"/>
    <w:rsid w:val="008F3083"/>
    <w:rsid w:val="008F456F"/>
    <w:rsid w:val="008F6257"/>
    <w:rsid w:val="008F6F23"/>
    <w:rsid w:val="00901717"/>
    <w:rsid w:val="00901910"/>
    <w:rsid w:val="00901C93"/>
    <w:rsid w:val="00905B81"/>
    <w:rsid w:val="00915F8F"/>
    <w:rsid w:val="0092077F"/>
    <w:rsid w:val="00920C11"/>
    <w:rsid w:val="00921727"/>
    <w:rsid w:val="0092308D"/>
    <w:rsid w:val="00924437"/>
    <w:rsid w:val="009249A3"/>
    <w:rsid w:val="00925CA6"/>
    <w:rsid w:val="0092695A"/>
    <w:rsid w:val="00926CEF"/>
    <w:rsid w:val="009324D7"/>
    <w:rsid w:val="00932AC9"/>
    <w:rsid w:val="009339F0"/>
    <w:rsid w:val="00933BA9"/>
    <w:rsid w:val="00934191"/>
    <w:rsid w:val="00936C48"/>
    <w:rsid w:val="00941F16"/>
    <w:rsid w:val="00942301"/>
    <w:rsid w:val="00943F18"/>
    <w:rsid w:val="00945407"/>
    <w:rsid w:val="00945A04"/>
    <w:rsid w:val="00945B66"/>
    <w:rsid w:val="00946477"/>
    <w:rsid w:val="00951DCC"/>
    <w:rsid w:val="00952039"/>
    <w:rsid w:val="00953344"/>
    <w:rsid w:val="00956CF1"/>
    <w:rsid w:val="00957649"/>
    <w:rsid w:val="00957B1E"/>
    <w:rsid w:val="009617F1"/>
    <w:rsid w:val="00961FBB"/>
    <w:rsid w:val="0096307B"/>
    <w:rsid w:val="00963D23"/>
    <w:rsid w:val="00964A55"/>
    <w:rsid w:val="009652C5"/>
    <w:rsid w:val="009655A1"/>
    <w:rsid w:val="0096562B"/>
    <w:rsid w:val="00966167"/>
    <w:rsid w:val="00967281"/>
    <w:rsid w:val="009705F6"/>
    <w:rsid w:val="00970E9E"/>
    <w:rsid w:val="00972362"/>
    <w:rsid w:val="00973629"/>
    <w:rsid w:val="00975568"/>
    <w:rsid w:val="0097695F"/>
    <w:rsid w:val="00976BFC"/>
    <w:rsid w:val="009774EE"/>
    <w:rsid w:val="0098054E"/>
    <w:rsid w:val="00980695"/>
    <w:rsid w:val="00980D68"/>
    <w:rsid w:val="00980D97"/>
    <w:rsid w:val="00984A20"/>
    <w:rsid w:val="009877E5"/>
    <w:rsid w:val="00987B76"/>
    <w:rsid w:val="009900C9"/>
    <w:rsid w:val="00990EF5"/>
    <w:rsid w:val="00991DBB"/>
    <w:rsid w:val="00992E6E"/>
    <w:rsid w:val="009937D4"/>
    <w:rsid w:val="00996D93"/>
    <w:rsid w:val="009A0CC7"/>
    <w:rsid w:val="009A10E6"/>
    <w:rsid w:val="009A24F5"/>
    <w:rsid w:val="009A281D"/>
    <w:rsid w:val="009A4BB5"/>
    <w:rsid w:val="009A6F01"/>
    <w:rsid w:val="009A6F81"/>
    <w:rsid w:val="009B0551"/>
    <w:rsid w:val="009B1F8D"/>
    <w:rsid w:val="009B37DD"/>
    <w:rsid w:val="009B39AD"/>
    <w:rsid w:val="009B4921"/>
    <w:rsid w:val="009B5006"/>
    <w:rsid w:val="009B5D18"/>
    <w:rsid w:val="009B766F"/>
    <w:rsid w:val="009C0535"/>
    <w:rsid w:val="009C1115"/>
    <w:rsid w:val="009C30B5"/>
    <w:rsid w:val="009C47DC"/>
    <w:rsid w:val="009D02C8"/>
    <w:rsid w:val="009D1D86"/>
    <w:rsid w:val="009D2522"/>
    <w:rsid w:val="009D59B4"/>
    <w:rsid w:val="009D75D2"/>
    <w:rsid w:val="009E0043"/>
    <w:rsid w:val="009E0273"/>
    <w:rsid w:val="009E18D0"/>
    <w:rsid w:val="009E2B5F"/>
    <w:rsid w:val="009E353C"/>
    <w:rsid w:val="009E4C2C"/>
    <w:rsid w:val="009E4D45"/>
    <w:rsid w:val="009E4FB8"/>
    <w:rsid w:val="009E56A3"/>
    <w:rsid w:val="009E5F2C"/>
    <w:rsid w:val="009E6497"/>
    <w:rsid w:val="009E68AF"/>
    <w:rsid w:val="009F3290"/>
    <w:rsid w:val="009F6AAE"/>
    <w:rsid w:val="009F7401"/>
    <w:rsid w:val="00A02867"/>
    <w:rsid w:val="00A02DCA"/>
    <w:rsid w:val="00A02E63"/>
    <w:rsid w:val="00A038F1"/>
    <w:rsid w:val="00A04DB8"/>
    <w:rsid w:val="00A05DCE"/>
    <w:rsid w:val="00A06175"/>
    <w:rsid w:val="00A06CE0"/>
    <w:rsid w:val="00A139ED"/>
    <w:rsid w:val="00A150C6"/>
    <w:rsid w:val="00A20DA0"/>
    <w:rsid w:val="00A22C57"/>
    <w:rsid w:val="00A26E11"/>
    <w:rsid w:val="00A319D3"/>
    <w:rsid w:val="00A32599"/>
    <w:rsid w:val="00A327CB"/>
    <w:rsid w:val="00A32FA0"/>
    <w:rsid w:val="00A34864"/>
    <w:rsid w:val="00A3500C"/>
    <w:rsid w:val="00A3696A"/>
    <w:rsid w:val="00A40DDB"/>
    <w:rsid w:val="00A43982"/>
    <w:rsid w:val="00A45F98"/>
    <w:rsid w:val="00A50460"/>
    <w:rsid w:val="00A522CF"/>
    <w:rsid w:val="00A55898"/>
    <w:rsid w:val="00A5725D"/>
    <w:rsid w:val="00A603CF"/>
    <w:rsid w:val="00A60E91"/>
    <w:rsid w:val="00A61C8E"/>
    <w:rsid w:val="00A61F94"/>
    <w:rsid w:val="00A62709"/>
    <w:rsid w:val="00A655AC"/>
    <w:rsid w:val="00A65712"/>
    <w:rsid w:val="00A65C28"/>
    <w:rsid w:val="00A66736"/>
    <w:rsid w:val="00A66D52"/>
    <w:rsid w:val="00A67365"/>
    <w:rsid w:val="00A67DED"/>
    <w:rsid w:val="00A70C1F"/>
    <w:rsid w:val="00A713A7"/>
    <w:rsid w:val="00A724F1"/>
    <w:rsid w:val="00A73856"/>
    <w:rsid w:val="00A75AE4"/>
    <w:rsid w:val="00A76293"/>
    <w:rsid w:val="00A76EA0"/>
    <w:rsid w:val="00A77FDC"/>
    <w:rsid w:val="00A80B04"/>
    <w:rsid w:val="00A829EB"/>
    <w:rsid w:val="00A82C7D"/>
    <w:rsid w:val="00A83051"/>
    <w:rsid w:val="00A838F2"/>
    <w:rsid w:val="00A86A73"/>
    <w:rsid w:val="00A86BDC"/>
    <w:rsid w:val="00A86C99"/>
    <w:rsid w:val="00A87581"/>
    <w:rsid w:val="00A8797C"/>
    <w:rsid w:val="00A87D0F"/>
    <w:rsid w:val="00A917B7"/>
    <w:rsid w:val="00A933AC"/>
    <w:rsid w:val="00A93514"/>
    <w:rsid w:val="00A935AB"/>
    <w:rsid w:val="00A939C4"/>
    <w:rsid w:val="00A94043"/>
    <w:rsid w:val="00A94366"/>
    <w:rsid w:val="00AA0056"/>
    <w:rsid w:val="00AA034F"/>
    <w:rsid w:val="00AA096B"/>
    <w:rsid w:val="00AA0FC8"/>
    <w:rsid w:val="00AA1CAC"/>
    <w:rsid w:val="00AA282C"/>
    <w:rsid w:val="00AA2D39"/>
    <w:rsid w:val="00AA3169"/>
    <w:rsid w:val="00AA47F5"/>
    <w:rsid w:val="00AA7736"/>
    <w:rsid w:val="00AB1ABF"/>
    <w:rsid w:val="00AB35B3"/>
    <w:rsid w:val="00AB389E"/>
    <w:rsid w:val="00AB489D"/>
    <w:rsid w:val="00AC0934"/>
    <w:rsid w:val="00AC1C87"/>
    <w:rsid w:val="00AC287A"/>
    <w:rsid w:val="00AC328D"/>
    <w:rsid w:val="00AC3D9C"/>
    <w:rsid w:val="00AC43D2"/>
    <w:rsid w:val="00AC4E8E"/>
    <w:rsid w:val="00AC5AA3"/>
    <w:rsid w:val="00AC5B6B"/>
    <w:rsid w:val="00AD210B"/>
    <w:rsid w:val="00AD4416"/>
    <w:rsid w:val="00AD4C57"/>
    <w:rsid w:val="00AD6F0F"/>
    <w:rsid w:val="00AD71DC"/>
    <w:rsid w:val="00AD737B"/>
    <w:rsid w:val="00AE1963"/>
    <w:rsid w:val="00AE227C"/>
    <w:rsid w:val="00AE410F"/>
    <w:rsid w:val="00AE4D5D"/>
    <w:rsid w:val="00AF3272"/>
    <w:rsid w:val="00AF4C58"/>
    <w:rsid w:val="00AF4C9B"/>
    <w:rsid w:val="00AF718E"/>
    <w:rsid w:val="00AF74E0"/>
    <w:rsid w:val="00B00298"/>
    <w:rsid w:val="00B00387"/>
    <w:rsid w:val="00B023E3"/>
    <w:rsid w:val="00B02984"/>
    <w:rsid w:val="00B03095"/>
    <w:rsid w:val="00B0327D"/>
    <w:rsid w:val="00B04BBB"/>
    <w:rsid w:val="00B05413"/>
    <w:rsid w:val="00B05DD5"/>
    <w:rsid w:val="00B06DB1"/>
    <w:rsid w:val="00B079F7"/>
    <w:rsid w:val="00B1456F"/>
    <w:rsid w:val="00B20B39"/>
    <w:rsid w:val="00B23C9E"/>
    <w:rsid w:val="00B242B2"/>
    <w:rsid w:val="00B257C7"/>
    <w:rsid w:val="00B26135"/>
    <w:rsid w:val="00B268B7"/>
    <w:rsid w:val="00B302D3"/>
    <w:rsid w:val="00B3150A"/>
    <w:rsid w:val="00B3203A"/>
    <w:rsid w:val="00B33041"/>
    <w:rsid w:val="00B35203"/>
    <w:rsid w:val="00B36E63"/>
    <w:rsid w:val="00B37561"/>
    <w:rsid w:val="00B407E8"/>
    <w:rsid w:val="00B40B58"/>
    <w:rsid w:val="00B415E9"/>
    <w:rsid w:val="00B41642"/>
    <w:rsid w:val="00B419EA"/>
    <w:rsid w:val="00B41DFA"/>
    <w:rsid w:val="00B42D67"/>
    <w:rsid w:val="00B42DB9"/>
    <w:rsid w:val="00B441C0"/>
    <w:rsid w:val="00B4454E"/>
    <w:rsid w:val="00B462E6"/>
    <w:rsid w:val="00B46869"/>
    <w:rsid w:val="00B4703F"/>
    <w:rsid w:val="00B47A4F"/>
    <w:rsid w:val="00B5276B"/>
    <w:rsid w:val="00B53AC7"/>
    <w:rsid w:val="00B57613"/>
    <w:rsid w:val="00B6051B"/>
    <w:rsid w:val="00B60BC7"/>
    <w:rsid w:val="00B632C2"/>
    <w:rsid w:val="00B63469"/>
    <w:rsid w:val="00B66132"/>
    <w:rsid w:val="00B66CAF"/>
    <w:rsid w:val="00B67E75"/>
    <w:rsid w:val="00B708D7"/>
    <w:rsid w:val="00B70E77"/>
    <w:rsid w:val="00B7560B"/>
    <w:rsid w:val="00B75EA7"/>
    <w:rsid w:val="00B768FD"/>
    <w:rsid w:val="00B7761E"/>
    <w:rsid w:val="00B77BE4"/>
    <w:rsid w:val="00B77DF1"/>
    <w:rsid w:val="00B802E1"/>
    <w:rsid w:val="00B804C7"/>
    <w:rsid w:val="00B80F46"/>
    <w:rsid w:val="00B8144F"/>
    <w:rsid w:val="00B82029"/>
    <w:rsid w:val="00B83709"/>
    <w:rsid w:val="00B857A4"/>
    <w:rsid w:val="00B86326"/>
    <w:rsid w:val="00B8638B"/>
    <w:rsid w:val="00B86E1B"/>
    <w:rsid w:val="00B874A9"/>
    <w:rsid w:val="00B877BF"/>
    <w:rsid w:val="00B878CB"/>
    <w:rsid w:val="00B87F85"/>
    <w:rsid w:val="00B930C0"/>
    <w:rsid w:val="00B9318A"/>
    <w:rsid w:val="00B93A91"/>
    <w:rsid w:val="00B93F09"/>
    <w:rsid w:val="00B94866"/>
    <w:rsid w:val="00B956EC"/>
    <w:rsid w:val="00B95F16"/>
    <w:rsid w:val="00B95FE2"/>
    <w:rsid w:val="00B968D5"/>
    <w:rsid w:val="00B96FBC"/>
    <w:rsid w:val="00B97039"/>
    <w:rsid w:val="00B97626"/>
    <w:rsid w:val="00BA0528"/>
    <w:rsid w:val="00BA3783"/>
    <w:rsid w:val="00BA5336"/>
    <w:rsid w:val="00BA562D"/>
    <w:rsid w:val="00BA56E1"/>
    <w:rsid w:val="00BA57CF"/>
    <w:rsid w:val="00BA59EF"/>
    <w:rsid w:val="00BA6249"/>
    <w:rsid w:val="00BA6AE5"/>
    <w:rsid w:val="00BB0899"/>
    <w:rsid w:val="00BB1934"/>
    <w:rsid w:val="00BB2E67"/>
    <w:rsid w:val="00BB71B0"/>
    <w:rsid w:val="00BB7C79"/>
    <w:rsid w:val="00BC16FC"/>
    <w:rsid w:val="00BC1BC9"/>
    <w:rsid w:val="00BC1D3F"/>
    <w:rsid w:val="00BC2652"/>
    <w:rsid w:val="00BC401A"/>
    <w:rsid w:val="00BC4043"/>
    <w:rsid w:val="00BC5C90"/>
    <w:rsid w:val="00BC662F"/>
    <w:rsid w:val="00BC6FC0"/>
    <w:rsid w:val="00BC713C"/>
    <w:rsid w:val="00BC7C66"/>
    <w:rsid w:val="00BD0728"/>
    <w:rsid w:val="00BD14FC"/>
    <w:rsid w:val="00BD5BCF"/>
    <w:rsid w:val="00BD63C4"/>
    <w:rsid w:val="00BD7371"/>
    <w:rsid w:val="00BE09A1"/>
    <w:rsid w:val="00BE163F"/>
    <w:rsid w:val="00BE401C"/>
    <w:rsid w:val="00BE4330"/>
    <w:rsid w:val="00BE4444"/>
    <w:rsid w:val="00BE4DC4"/>
    <w:rsid w:val="00BE6EFB"/>
    <w:rsid w:val="00BF1315"/>
    <w:rsid w:val="00BF1833"/>
    <w:rsid w:val="00BF1C79"/>
    <w:rsid w:val="00BF1DDC"/>
    <w:rsid w:val="00BF30CA"/>
    <w:rsid w:val="00BF3436"/>
    <w:rsid w:val="00BF381A"/>
    <w:rsid w:val="00BF453C"/>
    <w:rsid w:val="00BF4AF6"/>
    <w:rsid w:val="00BF58EC"/>
    <w:rsid w:val="00C00C3E"/>
    <w:rsid w:val="00C04A8E"/>
    <w:rsid w:val="00C058FC"/>
    <w:rsid w:val="00C05934"/>
    <w:rsid w:val="00C116C6"/>
    <w:rsid w:val="00C11960"/>
    <w:rsid w:val="00C144D7"/>
    <w:rsid w:val="00C14637"/>
    <w:rsid w:val="00C14A6C"/>
    <w:rsid w:val="00C152DF"/>
    <w:rsid w:val="00C15837"/>
    <w:rsid w:val="00C16386"/>
    <w:rsid w:val="00C16DA4"/>
    <w:rsid w:val="00C16EB3"/>
    <w:rsid w:val="00C17F39"/>
    <w:rsid w:val="00C2055A"/>
    <w:rsid w:val="00C208A4"/>
    <w:rsid w:val="00C218CC"/>
    <w:rsid w:val="00C22981"/>
    <w:rsid w:val="00C23A54"/>
    <w:rsid w:val="00C25862"/>
    <w:rsid w:val="00C311A5"/>
    <w:rsid w:val="00C324B7"/>
    <w:rsid w:val="00C3312A"/>
    <w:rsid w:val="00C34F98"/>
    <w:rsid w:val="00C35E09"/>
    <w:rsid w:val="00C36241"/>
    <w:rsid w:val="00C36AFE"/>
    <w:rsid w:val="00C3706E"/>
    <w:rsid w:val="00C37921"/>
    <w:rsid w:val="00C40198"/>
    <w:rsid w:val="00C404F4"/>
    <w:rsid w:val="00C40508"/>
    <w:rsid w:val="00C40601"/>
    <w:rsid w:val="00C41806"/>
    <w:rsid w:val="00C41EED"/>
    <w:rsid w:val="00C4239F"/>
    <w:rsid w:val="00C42EB5"/>
    <w:rsid w:val="00C4358F"/>
    <w:rsid w:val="00C43B97"/>
    <w:rsid w:val="00C453B9"/>
    <w:rsid w:val="00C45985"/>
    <w:rsid w:val="00C46115"/>
    <w:rsid w:val="00C463A8"/>
    <w:rsid w:val="00C465CF"/>
    <w:rsid w:val="00C476C2"/>
    <w:rsid w:val="00C47979"/>
    <w:rsid w:val="00C5017F"/>
    <w:rsid w:val="00C51BCC"/>
    <w:rsid w:val="00C51F37"/>
    <w:rsid w:val="00C5232A"/>
    <w:rsid w:val="00C524B9"/>
    <w:rsid w:val="00C529F3"/>
    <w:rsid w:val="00C53CB8"/>
    <w:rsid w:val="00C53E0C"/>
    <w:rsid w:val="00C54D3E"/>
    <w:rsid w:val="00C55339"/>
    <w:rsid w:val="00C55A74"/>
    <w:rsid w:val="00C56355"/>
    <w:rsid w:val="00C57CD4"/>
    <w:rsid w:val="00C600B0"/>
    <w:rsid w:val="00C62085"/>
    <w:rsid w:val="00C62C66"/>
    <w:rsid w:val="00C64F22"/>
    <w:rsid w:val="00C654D9"/>
    <w:rsid w:val="00C655DE"/>
    <w:rsid w:val="00C66CEC"/>
    <w:rsid w:val="00C67738"/>
    <w:rsid w:val="00C704E0"/>
    <w:rsid w:val="00C70F83"/>
    <w:rsid w:val="00C71578"/>
    <w:rsid w:val="00C73B94"/>
    <w:rsid w:val="00C75DA2"/>
    <w:rsid w:val="00C77952"/>
    <w:rsid w:val="00C77B8F"/>
    <w:rsid w:val="00C80BA5"/>
    <w:rsid w:val="00C81054"/>
    <w:rsid w:val="00C811C8"/>
    <w:rsid w:val="00C815E5"/>
    <w:rsid w:val="00C822B6"/>
    <w:rsid w:val="00C84421"/>
    <w:rsid w:val="00C845AF"/>
    <w:rsid w:val="00C85D18"/>
    <w:rsid w:val="00C87690"/>
    <w:rsid w:val="00C9064D"/>
    <w:rsid w:val="00C93709"/>
    <w:rsid w:val="00C93C0C"/>
    <w:rsid w:val="00C954DF"/>
    <w:rsid w:val="00C968C8"/>
    <w:rsid w:val="00C96D0D"/>
    <w:rsid w:val="00C9735D"/>
    <w:rsid w:val="00C97C0D"/>
    <w:rsid w:val="00CA1063"/>
    <w:rsid w:val="00CA1945"/>
    <w:rsid w:val="00CA297D"/>
    <w:rsid w:val="00CA2FF1"/>
    <w:rsid w:val="00CA3373"/>
    <w:rsid w:val="00CA4EF2"/>
    <w:rsid w:val="00CA51C9"/>
    <w:rsid w:val="00CA5533"/>
    <w:rsid w:val="00CB0798"/>
    <w:rsid w:val="00CB0A6F"/>
    <w:rsid w:val="00CB0DE8"/>
    <w:rsid w:val="00CB1746"/>
    <w:rsid w:val="00CB2A30"/>
    <w:rsid w:val="00CB4224"/>
    <w:rsid w:val="00CB49C8"/>
    <w:rsid w:val="00CB4F67"/>
    <w:rsid w:val="00CB6012"/>
    <w:rsid w:val="00CB6512"/>
    <w:rsid w:val="00CB7BCA"/>
    <w:rsid w:val="00CC01B3"/>
    <w:rsid w:val="00CC1339"/>
    <w:rsid w:val="00CC2FAE"/>
    <w:rsid w:val="00CC580E"/>
    <w:rsid w:val="00CC6075"/>
    <w:rsid w:val="00CC7E30"/>
    <w:rsid w:val="00CD0E44"/>
    <w:rsid w:val="00CD1194"/>
    <w:rsid w:val="00CD366C"/>
    <w:rsid w:val="00CD3754"/>
    <w:rsid w:val="00CD3AFB"/>
    <w:rsid w:val="00CD3B23"/>
    <w:rsid w:val="00CD3B46"/>
    <w:rsid w:val="00CD524D"/>
    <w:rsid w:val="00CD5AB4"/>
    <w:rsid w:val="00CD62C2"/>
    <w:rsid w:val="00CD6570"/>
    <w:rsid w:val="00CD785B"/>
    <w:rsid w:val="00CE0863"/>
    <w:rsid w:val="00CE0D47"/>
    <w:rsid w:val="00CE1CB2"/>
    <w:rsid w:val="00CE4AB5"/>
    <w:rsid w:val="00CE4BD4"/>
    <w:rsid w:val="00CE55BB"/>
    <w:rsid w:val="00CE6742"/>
    <w:rsid w:val="00CE6A2D"/>
    <w:rsid w:val="00CF0543"/>
    <w:rsid w:val="00CF124B"/>
    <w:rsid w:val="00CF216D"/>
    <w:rsid w:val="00CF2648"/>
    <w:rsid w:val="00CF3B87"/>
    <w:rsid w:val="00CF4F56"/>
    <w:rsid w:val="00CF523B"/>
    <w:rsid w:val="00CF5ABF"/>
    <w:rsid w:val="00CF671F"/>
    <w:rsid w:val="00D00AD7"/>
    <w:rsid w:val="00D0129F"/>
    <w:rsid w:val="00D01FA4"/>
    <w:rsid w:val="00D03492"/>
    <w:rsid w:val="00D04452"/>
    <w:rsid w:val="00D0488F"/>
    <w:rsid w:val="00D059FD"/>
    <w:rsid w:val="00D071C1"/>
    <w:rsid w:val="00D077AF"/>
    <w:rsid w:val="00D109DD"/>
    <w:rsid w:val="00D10D92"/>
    <w:rsid w:val="00D119FE"/>
    <w:rsid w:val="00D11B9B"/>
    <w:rsid w:val="00D130BA"/>
    <w:rsid w:val="00D130CE"/>
    <w:rsid w:val="00D135C1"/>
    <w:rsid w:val="00D143DB"/>
    <w:rsid w:val="00D14F62"/>
    <w:rsid w:val="00D15E0B"/>
    <w:rsid w:val="00D16CB0"/>
    <w:rsid w:val="00D175FD"/>
    <w:rsid w:val="00D201EC"/>
    <w:rsid w:val="00D21466"/>
    <w:rsid w:val="00D23316"/>
    <w:rsid w:val="00D308DA"/>
    <w:rsid w:val="00D34436"/>
    <w:rsid w:val="00D34625"/>
    <w:rsid w:val="00D34E90"/>
    <w:rsid w:val="00D361A0"/>
    <w:rsid w:val="00D36363"/>
    <w:rsid w:val="00D37969"/>
    <w:rsid w:val="00D41715"/>
    <w:rsid w:val="00D438D5"/>
    <w:rsid w:val="00D4398C"/>
    <w:rsid w:val="00D4494E"/>
    <w:rsid w:val="00D47A29"/>
    <w:rsid w:val="00D501A3"/>
    <w:rsid w:val="00D50A2D"/>
    <w:rsid w:val="00D50CA9"/>
    <w:rsid w:val="00D52F81"/>
    <w:rsid w:val="00D538F1"/>
    <w:rsid w:val="00D53FC8"/>
    <w:rsid w:val="00D556EC"/>
    <w:rsid w:val="00D572DA"/>
    <w:rsid w:val="00D57CC5"/>
    <w:rsid w:val="00D606EA"/>
    <w:rsid w:val="00D61163"/>
    <w:rsid w:val="00D61309"/>
    <w:rsid w:val="00D617A9"/>
    <w:rsid w:val="00D62F36"/>
    <w:rsid w:val="00D70CC5"/>
    <w:rsid w:val="00D71FB7"/>
    <w:rsid w:val="00D73816"/>
    <w:rsid w:val="00D73A41"/>
    <w:rsid w:val="00D7432C"/>
    <w:rsid w:val="00D74698"/>
    <w:rsid w:val="00D75FA3"/>
    <w:rsid w:val="00D76197"/>
    <w:rsid w:val="00D76A3E"/>
    <w:rsid w:val="00D77344"/>
    <w:rsid w:val="00D80173"/>
    <w:rsid w:val="00D80C0A"/>
    <w:rsid w:val="00D811D3"/>
    <w:rsid w:val="00D824F0"/>
    <w:rsid w:val="00D83520"/>
    <w:rsid w:val="00D84694"/>
    <w:rsid w:val="00D84E0F"/>
    <w:rsid w:val="00D86876"/>
    <w:rsid w:val="00D87A77"/>
    <w:rsid w:val="00D87FEF"/>
    <w:rsid w:val="00D90A0A"/>
    <w:rsid w:val="00D914CD"/>
    <w:rsid w:val="00D92F2C"/>
    <w:rsid w:val="00D94A92"/>
    <w:rsid w:val="00D94E87"/>
    <w:rsid w:val="00D96301"/>
    <w:rsid w:val="00D96593"/>
    <w:rsid w:val="00DA0136"/>
    <w:rsid w:val="00DA0849"/>
    <w:rsid w:val="00DA2107"/>
    <w:rsid w:val="00DA6C68"/>
    <w:rsid w:val="00DA74FA"/>
    <w:rsid w:val="00DB01AB"/>
    <w:rsid w:val="00DB0D2B"/>
    <w:rsid w:val="00DB1314"/>
    <w:rsid w:val="00DB1617"/>
    <w:rsid w:val="00DB3B55"/>
    <w:rsid w:val="00DB4AEB"/>
    <w:rsid w:val="00DB5BBD"/>
    <w:rsid w:val="00DB703E"/>
    <w:rsid w:val="00DB763F"/>
    <w:rsid w:val="00DB7C31"/>
    <w:rsid w:val="00DC045E"/>
    <w:rsid w:val="00DC18A8"/>
    <w:rsid w:val="00DC32EB"/>
    <w:rsid w:val="00DC5266"/>
    <w:rsid w:val="00DC52DD"/>
    <w:rsid w:val="00DC5894"/>
    <w:rsid w:val="00DC5C8D"/>
    <w:rsid w:val="00DC6BB4"/>
    <w:rsid w:val="00DD0E70"/>
    <w:rsid w:val="00DD11F4"/>
    <w:rsid w:val="00DD2F3C"/>
    <w:rsid w:val="00DD3FCA"/>
    <w:rsid w:val="00DD4422"/>
    <w:rsid w:val="00DD493C"/>
    <w:rsid w:val="00DD5514"/>
    <w:rsid w:val="00DD71FB"/>
    <w:rsid w:val="00DE1130"/>
    <w:rsid w:val="00DE1918"/>
    <w:rsid w:val="00DE2400"/>
    <w:rsid w:val="00DE36EB"/>
    <w:rsid w:val="00DE3982"/>
    <w:rsid w:val="00DE3BB5"/>
    <w:rsid w:val="00DE3D4B"/>
    <w:rsid w:val="00DE5D2D"/>
    <w:rsid w:val="00DE5F46"/>
    <w:rsid w:val="00DE70AA"/>
    <w:rsid w:val="00DE757D"/>
    <w:rsid w:val="00DF0404"/>
    <w:rsid w:val="00DF0E77"/>
    <w:rsid w:val="00DF1A05"/>
    <w:rsid w:val="00DF2263"/>
    <w:rsid w:val="00DF40D5"/>
    <w:rsid w:val="00DF4A46"/>
    <w:rsid w:val="00DF63A1"/>
    <w:rsid w:val="00DF6936"/>
    <w:rsid w:val="00E01012"/>
    <w:rsid w:val="00E01D52"/>
    <w:rsid w:val="00E04C9D"/>
    <w:rsid w:val="00E05431"/>
    <w:rsid w:val="00E064B8"/>
    <w:rsid w:val="00E06525"/>
    <w:rsid w:val="00E06818"/>
    <w:rsid w:val="00E06C4B"/>
    <w:rsid w:val="00E072BE"/>
    <w:rsid w:val="00E0765E"/>
    <w:rsid w:val="00E0776E"/>
    <w:rsid w:val="00E11413"/>
    <w:rsid w:val="00E11768"/>
    <w:rsid w:val="00E11F4B"/>
    <w:rsid w:val="00E1257C"/>
    <w:rsid w:val="00E127AA"/>
    <w:rsid w:val="00E12B92"/>
    <w:rsid w:val="00E13210"/>
    <w:rsid w:val="00E15CBC"/>
    <w:rsid w:val="00E1657E"/>
    <w:rsid w:val="00E16DA2"/>
    <w:rsid w:val="00E26182"/>
    <w:rsid w:val="00E275DA"/>
    <w:rsid w:val="00E2775A"/>
    <w:rsid w:val="00E279EE"/>
    <w:rsid w:val="00E27BAB"/>
    <w:rsid w:val="00E27F91"/>
    <w:rsid w:val="00E3069F"/>
    <w:rsid w:val="00E320C7"/>
    <w:rsid w:val="00E32E5F"/>
    <w:rsid w:val="00E33C77"/>
    <w:rsid w:val="00E35634"/>
    <w:rsid w:val="00E44ABC"/>
    <w:rsid w:val="00E508FD"/>
    <w:rsid w:val="00E50EED"/>
    <w:rsid w:val="00E512C6"/>
    <w:rsid w:val="00E55C0A"/>
    <w:rsid w:val="00E56397"/>
    <w:rsid w:val="00E566AD"/>
    <w:rsid w:val="00E57058"/>
    <w:rsid w:val="00E57FB4"/>
    <w:rsid w:val="00E60036"/>
    <w:rsid w:val="00E60C2A"/>
    <w:rsid w:val="00E62B2B"/>
    <w:rsid w:val="00E62CF2"/>
    <w:rsid w:val="00E63489"/>
    <w:rsid w:val="00E63A46"/>
    <w:rsid w:val="00E63EBD"/>
    <w:rsid w:val="00E64A08"/>
    <w:rsid w:val="00E64EEF"/>
    <w:rsid w:val="00E66229"/>
    <w:rsid w:val="00E66EC6"/>
    <w:rsid w:val="00E703F7"/>
    <w:rsid w:val="00E71510"/>
    <w:rsid w:val="00E724FE"/>
    <w:rsid w:val="00E7303E"/>
    <w:rsid w:val="00E732D3"/>
    <w:rsid w:val="00E741A0"/>
    <w:rsid w:val="00E74356"/>
    <w:rsid w:val="00E75AFE"/>
    <w:rsid w:val="00E76841"/>
    <w:rsid w:val="00E7790E"/>
    <w:rsid w:val="00E80786"/>
    <w:rsid w:val="00E81591"/>
    <w:rsid w:val="00E81FBD"/>
    <w:rsid w:val="00E8446E"/>
    <w:rsid w:val="00E857BF"/>
    <w:rsid w:val="00E858CC"/>
    <w:rsid w:val="00E85A90"/>
    <w:rsid w:val="00E863F7"/>
    <w:rsid w:val="00E86A40"/>
    <w:rsid w:val="00E91F56"/>
    <w:rsid w:val="00E92F28"/>
    <w:rsid w:val="00E96C08"/>
    <w:rsid w:val="00E96FFD"/>
    <w:rsid w:val="00E97806"/>
    <w:rsid w:val="00E97984"/>
    <w:rsid w:val="00EA06F4"/>
    <w:rsid w:val="00EA1064"/>
    <w:rsid w:val="00EA1211"/>
    <w:rsid w:val="00EA1ED3"/>
    <w:rsid w:val="00EA417B"/>
    <w:rsid w:val="00EA4374"/>
    <w:rsid w:val="00EA64A7"/>
    <w:rsid w:val="00EA666E"/>
    <w:rsid w:val="00EB47C5"/>
    <w:rsid w:val="00EB4CCF"/>
    <w:rsid w:val="00EB6257"/>
    <w:rsid w:val="00EB6B4C"/>
    <w:rsid w:val="00EC2A10"/>
    <w:rsid w:val="00EC66A4"/>
    <w:rsid w:val="00EC66A6"/>
    <w:rsid w:val="00EC6B67"/>
    <w:rsid w:val="00ED0CF7"/>
    <w:rsid w:val="00ED1D7A"/>
    <w:rsid w:val="00ED69F5"/>
    <w:rsid w:val="00EE0F77"/>
    <w:rsid w:val="00EE13DF"/>
    <w:rsid w:val="00EE1782"/>
    <w:rsid w:val="00EE218D"/>
    <w:rsid w:val="00EE5AEA"/>
    <w:rsid w:val="00EE6E05"/>
    <w:rsid w:val="00EE6F58"/>
    <w:rsid w:val="00EE7CD9"/>
    <w:rsid w:val="00EF02BF"/>
    <w:rsid w:val="00EF2E19"/>
    <w:rsid w:val="00EF34B8"/>
    <w:rsid w:val="00EF602C"/>
    <w:rsid w:val="00F0004A"/>
    <w:rsid w:val="00F005B0"/>
    <w:rsid w:val="00F010BF"/>
    <w:rsid w:val="00F017D3"/>
    <w:rsid w:val="00F03DF5"/>
    <w:rsid w:val="00F07216"/>
    <w:rsid w:val="00F07C3F"/>
    <w:rsid w:val="00F10668"/>
    <w:rsid w:val="00F1191F"/>
    <w:rsid w:val="00F13087"/>
    <w:rsid w:val="00F16470"/>
    <w:rsid w:val="00F16E2F"/>
    <w:rsid w:val="00F17070"/>
    <w:rsid w:val="00F203C4"/>
    <w:rsid w:val="00F203DA"/>
    <w:rsid w:val="00F21000"/>
    <w:rsid w:val="00F2153F"/>
    <w:rsid w:val="00F216D2"/>
    <w:rsid w:val="00F21F63"/>
    <w:rsid w:val="00F236E9"/>
    <w:rsid w:val="00F24111"/>
    <w:rsid w:val="00F2682F"/>
    <w:rsid w:val="00F26F9E"/>
    <w:rsid w:val="00F272C8"/>
    <w:rsid w:val="00F276D4"/>
    <w:rsid w:val="00F32F29"/>
    <w:rsid w:val="00F350D0"/>
    <w:rsid w:val="00F351D4"/>
    <w:rsid w:val="00F36FB9"/>
    <w:rsid w:val="00F37390"/>
    <w:rsid w:val="00F37789"/>
    <w:rsid w:val="00F378A6"/>
    <w:rsid w:val="00F405BC"/>
    <w:rsid w:val="00F425BE"/>
    <w:rsid w:val="00F45ADC"/>
    <w:rsid w:val="00F462CD"/>
    <w:rsid w:val="00F4743A"/>
    <w:rsid w:val="00F52BB5"/>
    <w:rsid w:val="00F55B34"/>
    <w:rsid w:val="00F57250"/>
    <w:rsid w:val="00F60C98"/>
    <w:rsid w:val="00F631D9"/>
    <w:rsid w:val="00F641D3"/>
    <w:rsid w:val="00F70109"/>
    <w:rsid w:val="00F760DE"/>
    <w:rsid w:val="00F765C1"/>
    <w:rsid w:val="00F77B26"/>
    <w:rsid w:val="00F80003"/>
    <w:rsid w:val="00F8034D"/>
    <w:rsid w:val="00F81F2F"/>
    <w:rsid w:val="00F8462D"/>
    <w:rsid w:val="00F84BF0"/>
    <w:rsid w:val="00F85F45"/>
    <w:rsid w:val="00F864FD"/>
    <w:rsid w:val="00F87064"/>
    <w:rsid w:val="00F87C84"/>
    <w:rsid w:val="00F902FF"/>
    <w:rsid w:val="00F903D1"/>
    <w:rsid w:val="00F90589"/>
    <w:rsid w:val="00F92E11"/>
    <w:rsid w:val="00F92FC9"/>
    <w:rsid w:val="00F9325C"/>
    <w:rsid w:val="00F93668"/>
    <w:rsid w:val="00F943CF"/>
    <w:rsid w:val="00FA5920"/>
    <w:rsid w:val="00FA677F"/>
    <w:rsid w:val="00FA6D6B"/>
    <w:rsid w:val="00FA6DD5"/>
    <w:rsid w:val="00FA751E"/>
    <w:rsid w:val="00FB0577"/>
    <w:rsid w:val="00FB1B87"/>
    <w:rsid w:val="00FB49E0"/>
    <w:rsid w:val="00FB5084"/>
    <w:rsid w:val="00FB5717"/>
    <w:rsid w:val="00FC1E99"/>
    <w:rsid w:val="00FC2B86"/>
    <w:rsid w:val="00FC333D"/>
    <w:rsid w:val="00FC3F5B"/>
    <w:rsid w:val="00FC40E9"/>
    <w:rsid w:val="00FC659B"/>
    <w:rsid w:val="00FC666C"/>
    <w:rsid w:val="00FC76B2"/>
    <w:rsid w:val="00FC7CE2"/>
    <w:rsid w:val="00FD01D0"/>
    <w:rsid w:val="00FD0244"/>
    <w:rsid w:val="00FD2110"/>
    <w:rsid w:val="00FD27DC"/>
    <w:rsid w:val="00FD6825"/>
    <w:rsid w:val="00FD6850"/>
    <w:rsid w:val="00FE0AD6"/>
    <w:rsid w:val="00FE0D75"/>
    <w:rsid w:val="00FE3028"/>
    <w:rsid w:val="00FE3938"/>
    <w:rsid w:val="00FE3ACB"/>
    <w:rsid w:val="00FE5271"/>
    <w:rsid w:val="00FE5F6F"/>
    <w:rsid w:val="00FE798D"/>
    <w:rsid w:val="00FE7FB0"/>
    <w:rsid w:val="00FF18CE"/>
    <w:rsid w:val="00FF2171"/>
    <w:rsid w:val="00FF3F9B"/>
    <w:rsid w:val="00FF60C0"/>
    <w:rsid w:val="00FF76A2"/>
    <w:rsid w:val="00FF7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6433"/>
    <o:shapelayout v:ext="edit">
      <o:idmap v:ext="edit" data="1"/>
    </o:shapelayout>
  </w:shapeDefaults>
  <w:decimalSymbol w:val="."/>
  <w:listSeparator w:val=","/>
  <w14:docId w14:val="46DA21FF"/>
  <w15:chartTrackingRefBased/>
  <w15:docId w15:val="{649DE21A-332E-4C6C-8D20-98737109C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297D"/>
    <w:rPr>
      <w:sz w:val="24"/>
      <w:szCs w:val="24"/>
    </w:rPr>
  </w:style>
  <w:style w:type="paragraph" w:styleId="Heading1">
    <w:name w:val="heading 1"/>
    <w:basedOn w:val="Normal"/>
    <w:next w:val="Normal"/>
    <w:link w:val="Heading1Char"/>
    <w:qFormat/>
    <w:rsid w:val="00B407E8"/>
    <w:pPr>
      <w:numPr>
        <w:numId w:val="1"/>
      </w:numPr>
      <w:spacing w:after="240"/>
      <w:outlineLvl w:val="0"/>
    </w:pPr>
    <w:rPr>
      <w:rFonts w:ascii="Arial" w:hAnsi="Arial" w:cs="Arial"/>
      <w:b/>
      <w:u w:val="single"/>
    </w:rPr>
  </w:style>
  <w:style w:type="paragraph" w:styleId="Heading3">
    <w:name w:val="heading 3"/>
    <w:basedOn w:val="Normal"/>
    <w:next w:val="Normal"/>
    <w:link w:val="Heading3Char"/>
    <w:semiHidden/>
    <w:unhideWhenUsed/>
    <w:qFormat/>
    <w:rsid w:val="00AC4E8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502DBE"/>
    <w:pPr>
      <w:jc w:val="center"/>
    </w:pPr>
    <w:rPr>
      <w:b/>
      <w:bCs/>
    </w:rPr>
  </w:style>
  <w:style w:type="character" w:styleId="Hyperlink">
    <w:name w:val="Hyperlink"/>
    <w:qFormat/>
    <w:rsid w:val="004A54A8"/>
    <w:rPr>
      <w:rFonts w:ascii="Arial" w:hAnsi="Arial"/>
      <w:color w:val="0000FF"/>
      <w:sz w:val="24"/>
      <w:u w:val="single"/>
      <w:shd w:val="clear" w:color="auto" w:fill="auto"/>
    </w:rPr>
  </w:style>
  <w:style w:type="character" w:styleId="Strong">
    <w:name w:val="Strong"/>
    <w:qFormat/>
    <w:rsid w:val="00502DBE"/>
    <w:rPr>
      <w:b/>
      <w:bCs/>
    </w:rPr>
  </w:style>
  <w:style w:type="paragraph" w:styleId="BodyTextIndent">
    <w:name w:val="Body Text Indent"/>
    <w:basedOn w:val="Normal"/>
    <w:rsid w:val="00502DBE"/>
    <w:pPr>
      <w:ind w:left="1440"/>
    </w:pPr>
    <w:rPr>
      <w:b/>
      <w:bCs/>
    </w:rPr>
  </w:style>
  <w:style w:type="paragraph" w:styleId="Header">
    <w:name w:val="header"/>
    <w:basedOn w:val="Normal"/>
    <w:rsid w:val="00502DBE"/>
    <w:pPr>
      <w:tabs>
        <w:tab w:val="center" w:pos="4320"/>
        <w:tab w:val="right" w:pos="8640"/>
      </w:tabs>
    </w:pPr>
  </w:style>
  <w:style w:type="paragraph" w:styleId="Footer">
    <w:name w:val="footer"/>
    <w:basedOn w:val="Normal"/>
    <w:link w:val="FooterChar"/>
    <w:uiPriority w:val="99"/>
    <w:rsid w:val="00502DBE"/>
    <w:pPr>
      <w:tabs>
        <w:tab w:val="center" w:pos="4320"/>
        <w:tab w:val="right" w:pos="8640"/>
      </w:tabs>
    </w:pPr>
  </w:style>
  <w:style w:type="paragraph" w:styleId="BodyTextIndent2">
    <w:name w:val="Body Text Indent 2"/>
    <w:basedOn w:val="Normal"/>
    <w:rsid w:val="00502DBE"/>
    <w:pPr>
      <w:ind w:left="720"/>
    </w:pPr>
  </w:style>
  <w:style w:type="character" w:styleId="FollowedHyperlink">
    <w:name w:val="FollowedHyperlink"/>
    <w:rsid w:val="00502DBE"/>
    <w:rPr>
      <w:color w:val="800080"/>
      <w:u w:val="single"/>
    </w:rPr>
  </w:style>
  <w:style w:type="character" w:customStyle="1" w:styleId="redline1">
    <w:name w:val="redline1"/>
    <w:rsid w:val="00502DBE"/>
    <w:rPr>
      <w:b w:val="0"/>
      <w:bCs w:val="0"/>
      <w:i/>
      <w:iCs/>
      <w:color w:val="FF0000"/>
      <w:shd w:val="clear" w:color="auto" w:fill="auto"/>
    </w:rPr>
  </w:style>
  <w:style w:type="paragraph" w:styleId="BalloonText">
    <w:name w:val="Balloon Text"/>
    <w:basedOn w:val="Normal"/>
    <w:semiHidden/>
    <w:rsid w:val="00502DBE"/>
    <w:rPr>
      <w:rFonts w:ascii="Tahoma" w:hAnsi="Tahoma" w:cs="Tahoma"/>
      <w:sz w:val="16"/>
      <w:szCs w:val="16"/>
    </w:rPr>
  </w:style>
  <w:style w:type="character" w:styleId="CommentReference">
    <w:name w:val="annotation reference"/>
    <w:semiHidden/>
    <w:rsid w:val="00502DBE"/>
    <w:rPr>
      <w:sz w:val="16"/>
      <w:szCs w:val="16"/>
    </w:rPr>
  </w:style>
  <w:style w:type="paragraph" w:styleId="CommentText">
    <w:name w:val="annotation text"/>
    <w:basedOn w:val="Normal"/>
    <w:link w:val="CommentTextChar"/>
    <w:semiHidden/>
    <w:rsid w:val="00502DBE"/>
    <w:rPr>
      <w:sz w:val="20"/>
      <w:szCs w:val="20"/>
    </w:rPr>
  </w:style>
  <w:style w:type="paragraph" w:styleId="CommentSubject">
    <w:name w:val="annotation subject"/>
    <w:basedOn w:val="CommentText"/>
    <w:next w:val="CommentText"/>
    <w:semiHidden/>
    <w:rsid w:val="00502DBE"/>
    <w:rPr>
      <w:b/>
      <w:bCs/>
    </w:rPr>
  </w:style>
  <w:style w:type="paragraph" w:styleId="ListParagraph">
    <w:name w:val="List Paragraph"/>
    <w:basedOn w:val="Normal"/>
    <w:uiPriority w:val="34"/>
    <w:qFormat/>
    <w:rsid w:val="000526F9"/>
    <w:pPr>
      <w:ind w:left="720"/>
      <w:contextualSpacing/>
    </w:pPr>
  </w:style>
  <w:style w:type="table" w:styleId="TableGrid">
    <w:name w:val="Table Grid"/>
    <w:basedOn w:val="TableNormal"/>
    <w:uiPriority w:val="39"/>
    <w:rsid w:val="003B5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94043"/>
    <w:rPr>
      <w:sz w:val="24"/>
      <w:szCs w:val="24"/>
    </w:rPr>
  </w:style>
  <w:style w:type="paragraph" w:customStyle="1" w:styleId="Default">
    <w:name w:val="Default"/>
    <w:rsid w:val="00C47979"/>
    <w:pPr>
      <w:autoSpaceDE w:val="0"/>
      <w:autoSpaceDN w:val="0"/>
      <w:adjustRightInd w:val="0"/>
    </w:pPr>
    <w:rPr>
      <w:color w:val="000000"/>
      <w:sz w:val="24"/>
      <w:szCs w:val="24"/>
    </w:rPr>
  </w:style>
  <w:style w:type="character" w:customStyle="1" w:styleId="CommentTextChar">
    <w:name w:val="Comment Text Char"/>
    <w:link w:val="CommentText"/>
    <w:semiHidden/>
    <w:rsid w:val="00C404F4"/>
  </w:style>
  <w:style w:type="character" w:customStyle="1" w:styleId="Heading3Char">
    <w:name w:val="Heading 3 Char"/>
    <w:basedOn w:val="DefaultParagraphFont"/>
    <w:link w:val="Heading3"/>
    <w:semiHidden/>
    <w:rsid w:val="00AC4E8E"/>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2704F2"/>
    <w:rPr>
      <w:sz w:val="24"/>
      <w:szCs w:val="24"/>
    </w:rPr>
  </w:style>
  <w:style w:type="character" w:customStyle="1" w:styleId="Heading1Char">
    <w:name w:val="Heading 1 Char"/>
    <w:basedOn w:val="DefaultParagraphFont"/>
    <w:link w:val="Heading1"/>
    <w:rsid w:val="00B407E8"/>
    <w:rPr>
      <w:rFonts w:ascii="Arial" w:hAnsi="Arial" w:cs="Arial"/>
      <w:b/>
      <w:sz w:val="24"/>
      <w:szCs w:val="24"/>
      <w:u w:val="single"/>
    </w:rPr>
  </w:style>
  <w:style w:type="character" w:customStyle="1" w:styleId="UnresolvedMention1">
    <w:name w:val="Unresolved Mention1"/>
    <w:basedOn w:val="DefaultParagraphFont"/>
    <w:uiPriority w:val="99"/>
    <w:semiHidden/>
    <w:unhideWhenUsed/>
    <w:rsid w:val="00D538F1"/>
    <w:rPr>
      <w:color w:val="605E5C"/>
      <w:shd w:val="clear" w:color="auto" w:fill="E1DFDD"/>
    </w:rPr>
  </w:style>
  <w:style w:type="character" w:styleId="UnresolvedMention">
    <w:name w:val="Unresolved Mention"/>
    <w:basedOn w:val="DefaultParagraphFont"/>
    <w:uiPriority w:val="99"/>
    <w:semiHidden/>
    <w:unhideWhenUsed/>
    <w:rsid w:val="006151AE"/>
    <w:rPr>
      <w:color w:val="605E5C"/>
      <w:shd w:val="clear" w:color="auto" w:fill="E1DFDD"/>
    </w:rPr>
  </w:style>
  <w:style w:type="paragraph" w:styleId="NormalWeb">
    <w:name w:val="Normal (Web)"/>
    <w:basedOn w:val="Normal"/>
    <w:uiPriority w:val="99"/>
    <w:unhideWhenUsed/>
    <w:rsid w:val="002E2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297003">
      <w:bodyDiv w:val="1"/>
      <w:marLeft w:val="0"/>
      <w:marRight w:val="0"/>
      <w:marTop w:val="0"/>
      <w:marBottom w:val="0"/>
      <w:divBdr>
        <w:top w:val="none" w:sz="0" w:space="0" w:color="auto"/>
        <w:left w:val="none" w:sz="0" w:space="0" w:color="auto"/>
        <w:bottom w:val="none" w:sz="0" w:space="0" w:color="auto"/>
        <w:right w:val="none" w:sz="0" w:space="0" w:color="auto"/>
      </w:divBdr>
    </w:div>
    <w:div w:id="100806961">
      <w:bodyDiv w:val="1"/>
      <w:marLeft w:val="0"/>
      <w:marRight w:val="0"/>
      <w:marTop w:val="0"/>
      <w:marBottom w:val="0"/>
      <w:divBdr>
        <w:top w:val="none" w:sz="0" w:space="0" w:color="auto"/>
        <w:left w:val="none" w:sz="0" w:space="0" w:color="auto"/>
        <w:bottom w:val="none" w:sz="0" w:space="0" w:color="auto"/>
        <w:right w:val="none" w:sz="0" w:space="0" w:color="auto"/>
      </w:divBdr>
    </w:div>
    <w:div w:id="221526433">
      <w:bodyDiv w:val="1"/>
      <w:marLeft w:val="0"/>
      <w:marRight w:val="0"/>
      <w:marTop w:val="0"/>
      <w:marBottom w:val="0"/>
      <w:divBdr>
        <w:top w:val="none" w:sz="0" w:space="0" w:color="auto"/>
        <w:left w:val="none" w:sz="0" w:space="0" w:color="auto"/>
        <w:bottom w:val="none" w:sz="0" w:space="0" w:color="auto"/>
        <w:right w:val="none" w:sz="0" w:space="0" w:color="auto"/>
      </w:divBdr>
    </w:div>
    <w:div w:id="241987727">
      <w:bodyDiv w:val="1"/>
      <w:marLeft w:val="0"/>
      <w:marRight w:val="0"/>
      <w:marTop w:val="0"/>
      <w:marBottom w:val="0"/>
      <w:divBdr>
        <w:top w:val="none" w:sz="0" w:space="0" w:color="auto"/>
        <w:left w:val="none" w:sz="0" w:space="0" w:color="auto"/>
        <w:bottom w:val="none" w:sz="0" w:space="0" w:color="auto"/>
        <w:right w:val="none" w:sz="0" w:space="0" w:color="auto"/>
      </w:divBdr>
    </w:div>
    <w:div w:id="478156278">
      <w:bodyDiv w:val="1"/>
      <w:marLeft w:val="0"/>
      <w:marRight w:val="0"/>
      <w:marTop w:val="0"/>
      <w:marBottom w:val="0"/>
      <w:divBdr>
        <w:top w:val="none" w:sz="0" w:space="0" w:color="auto"/>
        <w:left w:val="none" w:sz="0" w:space="0" w:color="auto"/>
        <w:bottom w:val="none" w:sz="0" w:space="0" w:color="auto"/>
        <w:right w:val="none" w:sz="0" w:space="0" w:color="auto"/>
      </w:divBdr>
    </w:div>
    <w:div w:id="550923879">
      <w:bodyDiv w:val="1"/>
      <w:marLeft w:val="0"/>
      <w:marRight w:val="0"/>
      <w:marTop w:val="0"/>
      <w:marBottom w:val="0"/>
      <w:divBdr>
        <w:top w:val="none" w:sz="0" w:space="0" w:color="auto"/>
        <w:left w:val="none" w:sz="0" w:space="0" w:color="auto"/>
        <w:bottom w:val="none" w:sz="0" w:space="0" w:color="auto"/>
        <w:right w:val="none" w:sz="0" w:space="0" w:color="auto"/>
      </w:divBdr>
    </w:div>
    <w:div w:id="652879620">
      <w:bodyDiv w:val="1"/>
      <w:marLeft w:val="0"/>
      <w:marRight w:val="0"/>
      <w:marTop w:val="0"/>
      <w:marBottom w:val="0"/>
      <w:divBdr>
        <w:top w:val="none" w:sz="0" w:space="0" w:color="auto"/>
        <w:left w:val="none" w:sz="0" w:space="0" w:color="auto"/>
        <w:bottom w:val="none" w:sz="0" w:space="0" w:color="auto"/>
        <w:right w:val="none" w:sz="0" w:space="0" w:color="auto"/>
      </w:divBdr>
    </w:div>
    <w:div w:id="742264095">
      <w:bodyDiv w:val="1"/>
      <w:marLeft w:val="0"/>
      <w:marRight w:val="0"/>
      <w:marTop w:val="0"/>
      <w:marBottom w:val="0"/>
      <w:divBdr>
        <w:top w:val="none" w:sz="0" w:space="0" w:color="auto"/>
        <w:left w:val="none" w:sz="0" w:space="0" w:color="auto"/>
        <w:bottom w:val="none" w:sz="0" w:space="0" w:color="auto"/>
        <w:right w:val="none" w:sz="0" w:space="0" w:color="auto"/>
      </w:divBdr>
    </w:div>
    <w:div w:id="746726694">
      <w:bodyDiv w:val="1"/>
      <w:marLeft w:val="0"/>
      <w:marRight w:val="0"/>
      <w:marTop w:val="0"/>
      <w:marBottom w:val="0"/>
      <w:divBdr>
        <w:top w:val="none" w:sz="0" w:space="0" w:color="auto"/>
        <w:left w:val="none" w:sz="0" w:space="0" w:color="auto"/>
        <w:bottom w:val="none" w:sz="0" w:space="0" w:color="auto"/>
        <w:right w:val="none" w:sz="0" w:space="0" w:color="auto"/>
      </w:divBdr>
    </w:div>
    <w:div w:id="838694532">
      <w:bodyDiv w:val="1"/>
      <w:marLeft w:val="0"/>
      <w:marRight w:val="0"/>
      <w:marTop w:val="0"/>
      <w:marBottom w:val="0"/>
      <w:divBdr>
        <w:top w:val="none" w:sz="0" w:space="0" w:color="auto"/>
        <w:left w:val="none" w:sz="0" w:space="0" w:color="auto"/>
        <w:bottom w:val="none" w:sz="0" w:space="0" w:color="auto"/>
        <w:right w:val="none" w:sz="0" w:space="0" w:color="auto"/>
      </w:divBdr>
    </w:div>
    <w:div w:id="842283530">
      <w:bodyDiv w:val="1"/>
      <w:marLeft w:val="0"/>
      <w:marRight w:val="0"/>
      <w:marTop w:val="0"/>
      <w:marBottom w:val="0"/>
      <w:divBdr>
        <w:top w:val="none" w:sz="0" w:space="0" w:color="auto"/>
        <w:left w:val="none" w:sz="0" w:space="0" w:color="auto"/>
        <w:bottom w:val="none" w:sz="0" w:space="0" w:color="auto"/>
        <w:right w:val="none" w:sz="0" w:space="0" w:color="auto"/>
      </w:divBdr>
      <w:divsChild>
        <w:div w:id="1234118603">
          <w:marLeft w:val="0"/>
          <w:marRight w:val="0"/>
          <w:marTop w:val="0"/>
          <w:marBottom w:val="0"/>
          <w:divBdr>
            <w:top w:val="none" w:sz="0" w:space="0" w:color="auto"/>
            <w:left w:val="none" w:sz="0" w:space="0" w:color="auto"/>
            <w:bottom w:val="none" w:sz="0" w:space="0" w:color="auto"/>
            <w:right w:val="none" w:sz="0" w:space="0" w:color="auto"/>
          </w:divBdr>
          <w:divsChild>
            <w:div w:id="1026716779">
              <w:marLeft w:val="0"/>
              <w:marRight w:val="0"/>
              <w:marTop w:val="0"/>
              <w:marBottom w:val="0"/>
              <w:divBdr>
                <w:top w:val="none" w:sz="0" w:space="0" w:color="auto"/>
                <w:left w:val="none" w:sz="0" w:space="0" w:color="auto"/>
                <w:bottom w:val="none" w:sz="0" w:space="0" w:color="auto"/>
                <w:right w:val="none" w:sz="0" w:space="0" w:color="auto"/>
              </w:divBdr>
              <w:divsChild>
                <w:div w:id="1757432722">
                  <w:marLeft w:val="0"/>
                  <w:marRight w:val="0"/>
                  <w:marTop w:val="0"/>
                  <w:marBottom w:val="0"/>
                  <w:divBdr>
                    <w:top w:val="none" w:sz="0" w:space="0" w:color="auto"/>
                    <w:left w:val="none" w:sz="0" w:space="0" w:color="auto"/>
                    <w:bottom w:val="none" w:sz="0" w:space="0" w:color="auto"/>
                    <w:right w:val="none" w:sz="0" w:space="0" w:color="auto"/>
                  </w:divBdr>
                  <w:divsChild>
                    <w:div w:id="2050300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100419">
      <w:bodyDiv w:val="1"/>
      <w:marLeft w:val="0"/>
      <w:marRight w:val="0"/>
      <w:marTop w:val="0"/>
      <w:marBottom w:val="0"/>
      <w:divBdr>
        <w:top w:val="none" w:sz="0" w:space="0" w:color="auto"/>
        <w:left w:val="none" w:sz="0" w:space="0" w:color="auto"/>
        <w:bottom w:val="none" w:sz="0" w:space="0" w:color="auto"/>
        <w:right w:val="none" w:sz="0" w:space="0" w:color="auto"/>
      </w:divBdr>
    </w:div>
    <w:div w:id="901716645">
      <w:bodyDiv w:val="1"/>
      <w:marLeft w:val="0"/>
      <w:marRight w:val="0"/>
      <w:marTop w:val="0"/>
      <w:marBottom w:val="0"/>
      <w:divBdr>
        <w:top w:val="none" w:sz="0" w:space="0" w:color="auto"/>
        <w:left w:val="none" w:sz="0" w:space="0" w:color="auto"/>
        <w:bottom w:val="none" w:sz="0" w:space="0" w:color="auto"/>
        <w:right w:val="none" w:sz="0" w:space="0" w:color="auto"/>
      </w:divBdr>
    </w:div>
    <w:div w:id="1147238031">
      <w:bodyDiv w:val="1"/>
      <w:marLeft w:val="0"/>
      <w:marRight w:val="0"/>
      <w:marTop w:val="0"/>
      <w:marBottom w:val="0"/>
      <w:divBdr>
        <w:top w:val="none" w:sz="0" w:space="0" w:color="auto"/>
        <w:left w:val="none" w:sz="0" w:space="0" w:color="auto"/>
        <w:bottom w:val="none" w:sz="0" w:space="0" w:color="auto"/>
        <w:right w:val="none" w:sz="0" w:space="0" w:color="auto"/>
      </w:divBdr>
    </w:div>
    <w:div w:id="1231424031">
      <w:bodyDiv w:val="1"/>
      <w:marLeft w:val="0"/>
      <w:marRight w:val="0"/>
      <w:marTop w:val="0"/>
      <w:marBottom w:val="0"/>
      <w:divBdr>
        <w:top w:val="none" w:sz="0" w:space="0" w:color="auto"/>
        <w:left w:val="none" w:sz="0" w:space="0" w:color="auto"/>
        <w:bottom w:val="none" w:sz="0" w:space="0" w:color="auto"/>
        <w:right w:val="none" w:sz="0" w:space="0" w:color="auto"/>
      </w:divBdr>
    </w:div>
    <w:div w:id="1280726601">
      <w:bodyDiv w:val="1"/>
      <w:marLeft w:val="0"/>
      <w:marRight w:val="0"/>
      <w:marTop w:val="0"/>
      <w:marBottom w:val="0"/>
      <w:divBdr>
        <w:top w:val="none" w:sz="0" w:space="0" w:color="auto"/>
        <w:left w:val="none" w:sz="0" w:space="0" w:color="auto"/>
        <w:bottom w:val="none" w:sz="0" w:space="0" w:color="auto"/>
        <w:right w:val="none" w:sz="0" w:space="0" w:color="auto"/>
      </w:divBdr>
    </w:div>
    <w:div w:id="1299535276">
      <w:bodyDiv w:val="1"/>
      <w:marLeft w:val="0"/>
      <w:marRight w:val="0"/>
      <w:marTop w:val="0"/>
      <w:marBottom w:val="0"/>
      <w:divBdr>
        <w:top w:val="none" w:sz="0" w:space="0" w:color="auto"/>
        <w:left w:val="none" w:sz="0" w:space="0" w:color="auto"/>
        <w:bottom w:val="none" w:sz="0" w:space="0" w:color="auto"/>
        <w:right w:val="none" w:sz="0" w:space="0" w:color="auto"/>
      </w:divBdr>
    </w:div>
    <w:div w:id="1314094093">
      <w:bodyDiv w:val="1"/>
      <w:marLeft w:val="0"/>
      <w:marRight w:val="0"/>
      <w:marTop w:val="0"/>
      <w:marBottom w:val="0"/>
      <w:divBdr>
        <w:top w:val="none" w:sz="0" w:space="0" w:color="auto"/>
        <w:left w:val="none" w:sz="0" w:space="0" w:color="auto"/>
        <w:bottom w:val="none" w:sz="0" w:space="0" w:color="auto"/>
        <w:right w:val="none" w:sz="0" w:space="0" w:color="auto"/>
      </w:divBdr>
    </w:div>
    <w:div w:id="1470513838">
      <w:bodyDiv w:val="1"/>
      <w:marLeft w:val="0"/>
      <w:marRight w:val="0"/>
      <w:marTop w:val="0"/>
      <w:marBottom w:val="0"/>
      <w:divBdr>
        <w:top w:val="none" w:sz="0" w:space="0" w:color="auto"/>
        <w:left w:val="none" w:sz="0" w:space="0" w:color="auto"/>
        <w:bottom w:val="none" w:sz="0" w:space="0" w:color="auto"/>
        <w:right w:val="none" w:sz="0" w:space="0" w:color="auto"/>
      </w:divBdr>
    </w:div>
    <w:div w:id="1471359121">
      <w:bodyDiv w:val="1"/>
      <w:marLeft w:val="0"/>
      <w:marRight w:val="0"/>
      <w:marTop w:val="0"/>
      <w:marBottom w:val="0"/>
      <w:divBdr>
        <w:top w:val="none" w:sz="0" w:space="0" w:color="auto"/>
        <w:left w:val="none" w:sz="0" w:space="0" w:color="auto"/>
        <w:bottom w:val="none" w:sz="0" w:space="0" w:color="auto"/>
        <w:right w:val="none" w:sz="0" w:space="0" w:color="auto"/>
      </w:divBdr>
    </w:div>
    <w:div w:id="1572539061">
      <w:bodyDiv w:val="1"/>
      <w:marLeft w:val="0"/>
      <w:marRight w:val="0"/>
      <w:marTop w:val="0"/>
      <w:marBottom w:val="0"/>
      <w:divBdr>
        <w:top w:val="none" w:sz="0" w:space="0" w:color="auto"/>
        <w:left w:val="none" w:sz="0" w:space="0" w:color="auto"/>
        <w:bottom w:val="none" w:sz="0" w:space="0" w:color="auto"/>
        <w:right w:val="none" w:sz="0" w:space="0" w:color="auto"/>
      </w:divBdr>
    </w:div>
    <w:div w:id="1602450952">
      <w:bodyDiv w:val="1"/>
      <w:marLeft w:val="0"/>
      <w:marRight w:val="0"/>
      <w:marTop w:val="0"/>
      <w:marBottom w:val="0"/>
      <w:divBdr>
        <w:top w:val="none" w:sz="0" w:space="0" w:color="auto"/>
        <w:left w:val="none" w:sz="0" w:space="0" w:color="auto"/>
        <w:bottom w:val="none" w:sz="0" w:space="0" w:color="auto"/>
        <w:right w:val="none" w:sz="0" w:space="0" w:color="auto"/>
      </w:divBdr>
    </w:div>
    <w:div w:id="1625574128">
      <w:bodyDiv w:val="1"/>
      <w:marLeft w:val="0"/>
      <w:marRight w:val="0"/>
      <w:marTop w:val="0"/>
      <w:marBottom w:val="0"/>
      <w:divBdr>
        <w:top w:val="none" w:sz="0" w:space="0" w:color="auto"/>
        <w:left w:val="none" w:sz="0" w:space="0" w:color="auto"/>
        <w:bottom w:val="none" w:sz="0" w:space="0" w:color="auto"/>
        <w:right w:val="none" w:sz="0" w:space="0" w:color="auto"/>
      </w:divBdr>
    </w:div>
    <w:div w:id="1671761167">
      <w:bodyDiv w:val="1"/>
      <w:marLeft w:val="0"/>
      <w:marRight w:val="0"/>
      <w:marTop w:val="0"/>
      <w:marBottom w:val="0"/>
      <w:divBdr>
        <w:top w:val="none" w:sz="0" w:space="0" w:color="auto"/>
        <w:left w:val="none" w:sz="0" w:space="0" w:color="auto"/>
        <w:bottom w:val="none" w:sz="0" w:space="0" w:color="auto"/>
        <w:right w:val="none" w:sz="0" w:space="0" w:color="auto"/>
      </w:divBdr>
    </w:div>
    <w:div w:id="1779179948">
      <w:bodyDiv w:val="1"/>
      <w:marLeft w:val="0"/>
      <w:marRight w:val="0"/>
      <w:marTop w:val="0"/>
      <w:marBottom w:val="0"/>
      <w:divBdr>
        <w:top w:val="none" w:sz="0" w:space="0" w:color="auto"/>
        <w:left w:val="none" w:sz="0" w:space="0" w:color="auto"/>
        <w:bottom w:val="none" w:sz="0" w:space="0" w:color="auto"/>
        <w:right w:val="none" w:sz="0" w:space="0" w:color="auto"/>
      </w:divBdr>
    </w:div>
    <w:div w:id="1783766593">
      <w:bodyDiv w:val="1"/>
      <w:marLeft w:val="0"/>
      <w:marRight w:val="0"/>
      <w:marTop w:val="0"/>
      <w:marBottom w:val="0"/>
      <w:divBdr>
        <w:top w:val="none" w:sz="0" w:space="0" w:color="auto"/>
        <w:left w:val="none" w:sz="0" w:space="0" w:color="auto"/>
        <w:bottom w:val="none" w:sz="0" w:space="0" w:color="auto"/>
        <w:right w:val="none" w:sz="0" w:space="0" w:color="auto"/>
      </w:divBdr>
    </w:div>
    <w:div w:id="1805149345">
      <w:bodyDiv w:val="1"/>
      <w:marLeft w:val="0"/>
      <w:marRight w:val="0"/>
      <w:marTop w:val="0"/>
      <w:marBottom w:val="0"/>
      <w:divBdr>
        <w:top w:val="none" w:sz="0" w:space="0" w:color="auto"/>
        <w:left w:val="none" w:sz="0" w:space="0" w:color="auto"/>
        <w:bottom w:val="none" w:sz="0" w:space="0" w:color="auto"/>
        <w:right w:val="none" w:sz="0" w:space="0" w:color="auto"/>
      </w:divBdr>
    </w:div>
    <w:div w:id="1859001277">
      <w:bodyDiv w:val="1"/>
      <w:marLeft w:val="0"/>
      <w:marRight w:val="0"/>
      <w:marTop w:val="0"/>
      <w:marBottom w:val="0"/>
      <w:divBdr>
        <w:top w:val="none" w:sz="0" w:space="0" w:color="auto"/>
        <w:left w:val="none" w:sz="0" w:space="0" w:color="auto"/>
        <w:bottom w:val="none" w:sz="0" w:space="0" w:color="auto"/>
        <w:right w:val="none" w:sz="0" w:space="0" w:color="auto"/>
      </w:divBdr>
    </w:div>
    <w:div w:id="1933125688">
      <w:bodyDiv w:val="1"/>
      <w:marLeft w:val="0"/>
      <w:marRight w:val="0"/>
      <w:marTop w:val="0"/>
      <w:marBottom w:val="0"/>
      <w:divBdr>
        <w:top w:val="none" w:sz="0" w:space="0" w:color="auto"/>
        <w:left w:val="none" w:sz="0" w:space="0" w:color="auto"/>
        <w:bottom w:val="none" w:sz="0" w:space="0" w:color="auto"/>
        <w:right w:val="none" w:sz="0" w:space="0" w:color="auto"/>
      </w:divBdr>
    </w:div>
    <w:div w:id="195613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7th-congress/house-bill/2617/tex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ms.gov/medicare/payment/fee-schedules/physician" TargetMode="External"/><Relationship Id="rId4" Type="http://schemas.openxmlformats.org/officeDocument/2006/relationships/settings" Target="settings.xml"/><Relationship Id="rId9" Type="http://schemas.openxmlformats.org/officeDocument/2006/relationships/hyperlink" Target="https://www.congress.gov/bill/118th-congress/house-bill/4366/text?s=2&amp;r=1&amp;q=%7B%22search%22%3A%22h4366%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B215-A2E9-42D4-809C-A11E1CC23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1866</TotalTime>
  <Pages>5</Pages>
  <Words>1407</Words>
  <Characters>8301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Explanation of Changes Attachment to Order dated 03.25.2024 effective 04.01.2024</vt:lpstr>
    </vt:vector>
  </TitlesOfParts>
  <Company/>
  <LinksUpToDate>false</LinksUpToDate>
  <CharactersWithSpaces>9689</CharactersWithSpaces>
  <SharedDoc>false</SharedDoc>
  <HLinks>
    <vt:vector size="24" baseType="variant">
      <vt:variant>
        <vt:i4>3342450</vt:i4>
      </vt:variant>
      <vt:variant>
        <vt:i4>9</vt:i4>
      </vt:variant>
      <vt:variant>
        <vt:i4>0</vt:i4>
      </vt:variant>
      <vt:variant>
        <vt:i4>5</vt:i4>
      </vt:variant>
      <vt:variant>
        <vt:lpwstr>https://www.cms.gov/Medicare/Medicare-Fee-for-Service-Payment/ProspMedicareFeeSvcPmtGen/Downloads/Zip-Code-to-Carrier-Locality.zip</vt:lpwstr>
      </vt:variant>
      <vt:variant>
        <vt:lpwstr/>
      </vt:variant>
      <vt:variant>
        <vt:i4>2293871</vt:i4>
      </vt:variant>
      <vt:variant>
        <vt:i4>6</vt:i4>
      </vt:variant>
      <vt:variant>
        <vt:i4>0</vt:i4>
      </vt:variant>
      <vt:variant>
        <vt:i4>5</vt:i4>
      </vt:variant>
      <vt:variant>
        <vt:lpwstr>https://www.cms.gov/Center/Provider-Type/Anesthesiologists-Center.html</vt:lpwstr>
      </vt:variant>
      <vt:variant>
        <vt:lpwstr/>
      </vt:variant>
      <vt:variant>
        <vt:i4>7405608</vt:i4>
      </vt:variant>
      <vt:variant>
        <vt:i4>3</vt:i4>
      </vt:variant>
      <vt:variant>
        <vt:i4>0</vt:i4>
      </vt:variant>
      <vt:variant>
        <vt:i4>5</vt:i4>
      </vt:variant>
      <vt:variant>
        <vt:lpwstr>https://www.cms.gov/Medicare/Medicare-Fee-for-Service-Payment/PhysicianFeeSched/PFS-Federal-Regulation-Notices.html?DLSort=2&amp;DLEntries=10&amp;DLPage=1&amp;DLSortDir=descending</vt:lpwstr>
      </vt:variant>
      <vt:variant>
        <vt:lpwstr/>
      </vt:variant>
      <vt:variant>
        <vt:i4>2162792</vt:i4>
      </vt:variant>
      <vt:variant>
        <vt:i4>0</vt:i4>
      </vt:variant>
      <vt:variant>
        <vt:i4>0</vt:i4>
      </vt:variant>
      <vt:variant>
        <vt:i4>5</vt:i4>
      </vt:variant>
      <vt:variant>
        <vt:lpwstr>https://www.cms.gov/Medicare/Medicare-Fee-for-Service-Payment/PhysicianFeeSched/PFS-Federal-Regulation-Notices.html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Explanation of Changes Attachment to Order dated 03.25.2024 effective 04.01.2024</dc:title>
  <dc:subject/>
  <dc:creator>Division of Workers' Compensation</dc:creator>
  <cp:keywords/>
  <cp:lastModifiedBy>Schauer, Jackie@DIR</cp:lastModifiedBy>
  <cp:revision>102</cp:revision>
  <dcterms:created xsi:type="dcterms:W3CDTF">2023-01-29T18:35:00Z</dcterms:created>
  <dcterms:modified xsi:type="dcterms:W3CDTF">2024-03-23T22:15:00Z</dcterms:modified>
</cp:coreProperties>
</file>