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F1" w:rsidRPr="007D30CC" w:rsidRDefault="00B877BF" w:rsidP="007D30CC">
      <w:pPr>
        <w:pStyle w:val="Heading1"/>
        <w:jc w:val="center"/>
        <w:rPr>
          <w:rFonts w:ascii="Arial" w:hAnsi="Arial" w:cs="Arial"/>
          <w:color w:val="0D0D0D" w:themeColor="text1" w:themeTint="F2"/>
          <w:sz w:val="24"/>
          <w:szCs w:val="24"/>
        </w:rPr>
      </w:pPr>
      <w:proofErr w:type="spellStart"/>
      <w:r w:rsidRPr="007D30CC">
        <w:rPr>
          <w:rFonts w:ascii="Arial" w:hAnsi="Arial" w:cs="Arial"/>
          <w:color w:val="0D0D0D" w:themeColor="text1" w:themeTint="F2"/>
          <w:sz w:val="24"/>
          <w:szCs w:val="24"/>
        </w:rPr>
        <w:t>OMFS</w:t>
      </w:r>
      <w:proofErr w:type="spellEnd"/>
      <w:r w:rsidRPr="007D30CC">
        <w:rPr>
          <w:rFonts w:ascii="Arial" w:hAnsi="Arial" w:cs="Arial"/>
          <w:color w:val="0D0D0D" w:themeColor="text1" w:themeTint="F2"/>
          <w:sz w:val="24"/>
          <w:szCs w:val="24"/>
        </w:rPr>
        <w:t xml:space="preserve"> Update for </w:t>
      </w:r>
      <w:r w:rsidR="0085120C" w:rsidRPr="007D30CC">
        <w:rPr>
          <w:rFonts w:ascii="Arial" w:hAnsi="Arial" w:cs="Arial"/>
          <w:color w:val="0D0D0D" w:themeColor="text1" w:themeTint="F2"/>
          <w:sz w:val="24"/>
          <w:szCs w:val="24"/>
        </w:rPr>
        <w:t xml:space="preserve">Physician and </w:t>
      </w:r>
      <w:r w:rsidR="00E13210" w:rsidRPr="007D30CC">
        <w:rPr>
          <w:rFonts w:ascii="Arial" w:hAnsi="Arial" w:cs="Arial"/>
          <w:color w:val="0D0D0D" w:themeColor="text1" w:themeTint="F2"/>
          <w:sz w:val="24"/>
          <w:szCs w:val="24"/>
        </w:rPr>
        <w:t>Non-Physician</w:t>
      </w:r>
      <w:r w:rsidR="00A038F1" w:rsidRPr="007D30CC">
        <w:rPr>
          <w:rFonts w:ascii="Arial" w:hAnsi="Arial" w:cs="Arial"/>
          <w:color w:val="0D0D0D" w:themeColor="text1" w:themeTint="F2"/>
          <w:sz w:val="24"/>
          <w:szCs w:val="24"/>
        </w:rPr>
        <w:t xml:space="preserve"> Practitioner Services</w:t>
      </w:r>
      <w:r w:rsidR="00CD6390" w:rsidRPr="007D30CC">
        <w:rPr>
          <w:rFonts w:ascii="Arial" w:hAnsi="Arial" w:cs="Arial"/>
          <w:color w:val="0D0D0D" w:themeColor="text1" w:themeTint="F2"/>
          <w:sz w:val="24"/>
          <w:szCs w:val="24"/>
        </w:rPr>
        <w:br/>
      </w:r>
      <w:r w:rsidR="00A038F1" w:rsidRPr="007D30CC">
        <w:rPr>
          <w:rFonts w:ascii="Arial" w:hAnsi="Arial" w:cs="Arial"/>
          <w:color w:val="0D0D0D" w:themeColor="text1" w:themeTint="F2"/>
          <w:sz w:val="24"/>
          <w:szCs w:val="24"/>
        </w:rPr>
        <w:t>Explanation of Changes</w:t>
      </w:r>
    </w:p>
    <w:p w:rsidR="00B877BF" w:rsidRPr="007D30CC" w:rsidRDefault="00B877BF" w:rsidP="007D30CC">
      <w:pPr>
        <w:spacing w:after="360"/>
        <w:jc w:val="center"/>
        <w:rPr>
          <w:rFonts w:ascii="Arial" w:hAnsi="Arial" w:cs="Arial"/>
          <w:b/>
        </w:rPr>
      </w:pPr>
      <w:r w:rsidRPr="007D30CC">
        <w:rPr>
          <w:rFonts w:ascii="Arial" w:hAnsi="Arial" w:cs="Arial"/>
          <w:b/>
        </w:rPr>
        <w:t xml:space="preserve">(Effective </w:t>
      </w:r>
      <w:r w:rsidR="009A281D" w:rsidRPr="007D30CC">
        <w:rPr>
          <w:rFonts w:ascii="Arial" w:hAnsi="Arial" w:cs="Arial"/>
          <w:b/>
        </w:rPr>
        <w:t xml:space="preserve">January </w:t>
      </w:r>
      <w:r w:rsidR="003F335B" w:rsidRPr="007D30CC">
        <w:rPr>
          <w:rFonts w:ascii="Arial" w:hAnsi="Arial" w:cs="Arial"/>
          <w:b/>
        </w:rPr>
        <w:t>1</w:t>
      </w:r>
      <w:r w:rsidR="0085120C" w:rsidRPr="007D30CC">
        <w:rPr>
          <w:rFonts w:ascii="Arial" w:hAnsi="Arial" w:cs="Arial"/>
          <w:b/>
        </w:rPr>
        <w:t>, 20</w:t>
      </w:r>
      <w:r w:rsidR="00933BA9" w:rsidRPr="007D30CC">
        <w:rPr>
          <w:rFonts w:ascii="Arial" w:hAnsi="Arial" w:cs="Arial"/>
          <w:b/>
        </w:rPr>
        <w:t>20</w:t>
      </w:r>
      <w:r w:rsidRPr="007D30CC">
        <w:rPr>
          <w:rFonts w:ascii="Arial" w:hAnsi="Arial" w:cs="Arial"/>
          <w:b/>
        </w:rPr>
        <w:t>)</w:t>
      </w:r>
    </w:p>
    <w:p w:rsidR="00B877BF" w:rsidRPr="00573F80" w:rsidRDefault="00B877BF" w:rsidP="00F35AA9">
      <w:pPr>
        <w:pStyle w:val="NumberedList"/>
      </w:pPr>
      <w:r w:rsidRPr="00573F80">
        <w:t>Data Sources</w:t>
      </w:r>
    </w:p>
    <w:p w:rsidR="002654E9" w:rsidRPr="00573F80" w:rsidRDefault="00B877BF" w:rsidP="00F35AA9">
      <w:pPr>
        <w:spacing w:before="240" w:after="240"/>
        <w:ind w:left="360"/>
        <w:rPr>
          <w:rFonts w:ascii="Arial" w:hAnsi="Arial" w:cs="Arial"/>
        </w:rPr>
      </w:pPr>
      <w:r w:rsidRPr="00573F80">
        <w:rPr>
          <w:rFonts w:ascii="Arial" w:hAnsi="Arial" w:cs="Arial"/>
        </w:rPr>
        <w:t xml:space="preserve">The </w:t>
      </w:r>
      <w:r w:rsidR="0053527A" w:rsidRPr="00573F80">
        <w:rPr>
          <w:rFonts w:ascii="Arial" w:hAnsi="Arial" w:cs="Arial"/>
        </w:rPr>
        <w:t>Center for Medicare and Medicaid Services’</w:t>
      </w:r>
      <w:r w:rsidRPr="00573F80">
        <w:rPr>
          <w:rFonts w:ascii="Arial" w:hAnsi="Arial" w:cs="Arial"/>
        </w:rPr>
        <w:t xml:space="preserve"> </w:t>
      </w:r>
      <w:r w:rsidR="005F528F" w:rsidRPr="00573F80">
        <w:rPr>
          <w:rFonts w:ascii="Arial" w:hAnsi="Arial" w:cs="Arial"/>
        </w:rPr>
        <w:t xml:space="preserve">CY </w:t>
      </w:r>
      <w:r w:rsidR="00BA562D" w:rsidRPr="00573F80">
        <w:rPr>
          <w:rFonts w:ascii="Arial" w:hAnsi="Arial" w:cs="Arial"/>
        </w:rPr>
        <w:t>20</w:t>
      </w:r>
      <w:r w:rsidR="0053527A" w:rsidRPr="00573F80">
        <w:rPr>
          <w:rFonts w:ascii="Arial" w:hAnsi="Arial" w:cs="Arial"/>
        </w:rPr>
        <w:t>20</w:t>
      </w:r>
      <w:r w:rsidR="00BA562D" w:rsidRPr="00573F80">
        <w:rPr>
          <w:rFonts w:ascii="Arial" w:hAnsi="Arial" w:cs="Arial"/>
        </w:rPr>
        <w:t xml:space="preserve"> </w:t>
      </w:r>
      <w:r w:rsidRPr="00573F80">
        <w:rPr>
          <w:rFonts w:ascii="Arial" w:hAnsi="Arial" w:cs="Arial"/>
        </w:rPr>
        <w:t xml:space="preserve">update to the </w:t>
      </w:r>
      <w:r w:rsidR="0085120C" w:rsidRPr="00573F80">
        <w:rPr>
          <w:rFonts w:ascii="Arial" w:hAnsi="Arial" w:cs="Arial"/>
        </w:rPr>
        <w:t xml:space="preserve">Medicare physician fee schedule </w:t>
      </w:r>
      <w:r w:rsidRPr="00573F80">
        <w:rPr>
          <w:rFonts w:ascii="Arial" w:hAnsi="Arial" w:cs="Arial"/>
        </w:rPr>
        <w:t xml:space="preserve">was </w:t>
      </w:r>
      <w:r w:rsidR="0085120C" w:rsidRPr="00573F80">
        <w:rPr>
          <w:rFonts w:ascii="Arial" w:hAnsi="Arial" w:cs="Arial"/>
        </w:rPr>
        <w:t xml:space="preserve">published </w:t>
      </w:r>
      <w:r w:rsidR="005F528F" w:rsidRPr="00573F80">
        <w:rPr>
          <w:rFonts w:ascii="Arial" w:hAnsi="Arial" w:cs="Arial"/>
        </w:rPr>
        <w:t xml:space="preserve">in the Federal Register </w:t>
      </w:r>
      <w:r w:rsidR="0085120C" w:rsidRPr="00573F80">
        <w:rPr>
          <w:rFonts w:ascii="Arial" w:hAnsi="Arial" w:cs="Arial"/>
        </w:rPr>
        <w:t xml:space="preserve">on </w:t>
      </w:r>
      <w:r w:rsidR="005F528F" w:rsidRPr="00573F80">
        <w:rPr>
          <w:rFonts w:ascii="Arial" w:hAnsi="Arial" w:cs="Arial"/>
        </w:rPr>
        <w:t>Nov</w:t>
      </w:r>
      <w:r w:rsidR="0085120C" w:rsidRPr="00573F80">
        <w:rPr>
          <w:rFonts w:ascii="Arial" w:hAnsi="Arial" w:cs="Arial"/>
        </w:rPr>
        <w:t>embe</w:t>
      </w:r>
      <w:r w:rsidR="005F528F" w:rsidRPr="00573F80">
        <w:rPr>
          <w:rFonts w:ascii="Arial" w:hAnsi="Arial" w:cs="Arial"/>
        </w:rPr>
        <w:t xml:space="preserve">r </w:t>
      </w:r>
      <w:r w:rsidR="0053527A" w:rsidRPr="00573F80">
        <w:rPr>
          <w:rFonts w:ascii="Arial" w:hAnsi="Arial" w:cs="Arial"/>
        </w:rPr>
        <w:t>15</w:t>
      </w:r>
      <w:r w:rsidR="00CE4AB5" w:rsidRPr="00573F80">
        <w:rPr>
          <w:rFonts w:ascii="Arial" w:hAnsi="Arial" w:cs="Arial"/>
        </w:rPr>
        <w:t xml:space="preserve">, </w:t>
      </w:r>
      <w:r w:rsidR="00FE5271" w:rsidRPr="00573F80">
        <w:rPr>
          <w:rFonts w:ascii="Arial" w:hAnsi="Arial" w:cs="Arial"/>
        </w:rPr>
        <w:t>20</w:t>
      </w:r>
      <w:r w:rsidR="0053527A" w:rsidRPr="00573F80">
        <w:rPr>
          <w:rFonts w:ascii="Arial" w:hAnsi="Arial" w:cs="Arial"/>
        </w:rPr>
        <w:t>19</w:t>
      </w:r>
      <w:r w:rsidR="00241B31" w:rsidRPr="00573F80">
        <w:rPr>
          <w:rFonts w:ascii="Arial" w:hAnsi="Arial" w:cs="Arial"/>
        </w:rPr>
        <w:t xml:space="preserve"> (</w:t>
      </w:r>
      <w:r w:rsidR="00CB7BCA" w:rsidRPr="00573F80">
        <w:rPr>
          <w:rFonts w:ascii="Arial" w:hAnsi="Arial" w:cs="Arial"/>
        </w:rPr>
        <w:t>8</w:t>
      </w:r>
      <w:r w:rsidR="0053527A" w:rsidRPr="00573F80">
        <w:rPr>
          <w:rFonts w:ascii="Arial" w:hAnsi="Arial" w:cs="Arial"/>
        </w:rPr>
        <w:t>4</w:t>
      </w:r>
      <w:r w:rsidR="00241B31" w:rsidRPr="00573F80">
        <w:rPr>
          <w:rFonts w:ascii="Arial" w:hAnsi="Arial" w:cs="Arial"/>
        </w:rPr>
        <w:t xml:space="preserve"> Fed. Reg. </w:t>
      </w:r>
      <w:r w:rsidR="0053527A" w:rsidRPr="00573F80">
        <w:rPr>
          <w:rFonts w:ascii="Arial" w:hAnsi="Arial" w:cs="Arial"/>
        </w:rPr>
        <w:t>62568</w:t>
      </w:r>
      <w:r w:rsidR="00241B31" w:rsidRPr="00573F80">
        <w:rPr>
          <w:rFonts w:ascii="Arial" w:hAnsi="Arial" w:cs="Arial"/>
        </w:rPr>
        <w:t>)</w:t>
      </w:r>
      <w:r w:rsidR="0085120C" w:rsidRPr="00573F80">
        <w:rPr>
          <w:rFonts w:ascii="Arial" w:hAnsi="Arial" w:cs="Arial"/>
        </w:rPr>
        <w:t>. It is entitled</w:t>
      </w:r>
      <w:r w:rsidR="00BA562D" w:rsidRPr="00573F80">
        <w:rPr>
          <w:rFonts w:ascii="Arial" w:hAnsi="Arial" w:cs="Arial"/>
        </w:rPr>
        <w:t xml:space="preserve"> </w:t>
      </w:r>
      <w:r w:rsidR="0057348B" w:rsidRPr="00573F80">
        <w:rPr>
          <w:rFonts w:ascii="Arial" w:hAnsi="Arial" w:cs="Arial"/>
        </w:rPr>
        <w:t>“</w:t>
      </w:r>
      <w:r w:rsidR="0053527A" w:rsidRPr="00573F80">
        <w:rPr>
          <w:rFonts w:ascii="Arial" w:hAnsi="Arial" w:cs="Arial"/>
        </w:rPr>
        <w:t>Medicare Program; CY 2020 Revisions to Payment Policies Under the Physician Fee Schedule and Other Changes to Part B Payment Policies; Medicare Shared Savings Program Requirements; Medicaid Promoting Interoperability Program Requirements for Eligible Professionals; Establishment of an Ambulance Data Collection System; Updates to the Quality Payment Program; Medicare Enrollment of Opioid Treatment Programs and Enhancements to Provider Enrollment Regulations Concerning Improper Prescribing and Patient Harm; and Amendments to Physician Self-Referral Law Advisory Opinion Regulations Final Rule; and Coding and Payment for Evaluation and Management, Observation and Provision of Self-Administered Esketamine Interim Final Rule” [CMS-1715-F and IFC]</w:t>
      </w:r>
      <w:r w:rsidR="00CB6512" w:rsidRPr="00573F80">
        <w:rPr>
          <w:rFonts w:ascii="Arial" w:hAnsi="Arial" w:cs="Arial"/>
        </w:rPr>
        <w:t xml:space="preserve">. </w:t>
      </w:r>
      <w:r w:rsidR="002654E9" w:rsidRPr="00573F80">
        <w:rPr>
          <w:rFonts w:ascii="Arial" w:hAnsi="Arial" w:cs="Arial"/>
        </w:rPr>
        <w:t>Hereafter, the final rule will be referenced as “CY 20</w:t>
      </w:r>
      <w:r w:rsidR="0053527A" w:rsidRPr="00573F80">
        <w:rPr>
          <w:rFonts w:ascii="Arial" w:hAnsi="Arial" w:cs="Arial"/>
        </w:rPr>
        <w:t>20</w:t>
      </w:r>
      <w:r w:rsidR="002654E9" w:rsidRPr="00573F80">
        <w:rPr>
          <w:rFonts w:ascii="Arial" w:hAnsi="Arial" w:cs="Arial"/>
        </w:rPr>
        <w:t xml:space="preserve"> Medicare Physician Fee Schedule Final Rule, CMS-</w:t>
      </w:r>
      <w:r w:rsidR="0057348B" w:rsidRPr="00573F80">
        <w:rPr>
          <w:rFonts w:ascii="Arial" w:hAnsi="Arial" w:cs="Arial"/>
        </w:rPr>
        <w:t>1</w:t>
      </w:r>
      <w:r w:rsidR="0053527A" w:rsidRPr="00573F80">
        <w:rPr>
          <w:rFonts w:ascii="Arial" w:hAnsi="Arial" w:cs="Arial"/>
        </w:rPr>
        <w:t>715</w:t>
      </w:r>
      <w:r w:rsidR="002654E9" w:rsidRPr="00573F80">
        <w:rPr>
          <w:rFonts w:ascii="Arial" w:hAnsi="Arial" w:cs="Arial"/>
        </w:rPr>
        <w:t>-F.”</w:t>
      </w:r>
    </w:p>
    <w:p w:rsidR="007B72F4" w:rsidRPr="00573F80" w:rsidRDefault="00B877BF" w:rsidP="001814DF">
      <w:pPr>
        <w:ind w:left="360"/>
        <w:rPr>
          <w:rFonts w:ascii="Arial" w:hAnsi="Arial" w:cs="Arial"/>
        </w:rPr>
      </w:pPr>
      <w:r w:rsidRPr="00573F80">
        <w:rPr>
          <w:rFonts w:ascii="Arial" w:hAnsi="Arial" w:cs="Arial"/>
        </w:rPr>
        <w:t>The</w:t>
      </w:r>
      <w:r w:rsidR="00573F80" w:rsidRPr="00573F80">
        <w:rPr>
          <w:rFonts w:ascii="Arial" w:hAnsi="Arial" w:cs="Arial"/>
        </w:rPr>
        <w:t xml:space="preserve"> </w:t>
      </w:r>
      <w:hyperlink r:id="rId8" w:history="1">
        <w:r w:rsidR="00573F80" w:rsidRPr="004A54A8">
          <w:rPr>
            <w:rStyle w:val="Hyperlink"/>
            <w:rFonts w:cs="Arial"/>
          </w:rPr>
          <w:t>CY 2020 Medicare Physician Fee Schedule Final Rule, CMS-1715-F</w:t>
        </w:r>
        <w:r w:rsidR="004A54A8" w:rsidRPr="004A54A8">
          <w:rPr>
            <w:rStyle w:val="Hyperlink"/>
            <w:rFonts w:cs="Arial"/>
          </w:rPr>
          <w:t>,</w:t>
        </w:r>
        <w:r w:rsidR="00573F80" w:rsidRPr="004A54A8">
          <w:rPr>
            <w:rStyle w:val="Hyperlink"/>
            <w:rFonts w:cs="Arial"/>
          </w:rPr>
          <w:t xml:space="preserve"> </w:t>
        </w:r>
        <w:r w:rsidR="007150C3" w:rsidRPr="004A54A8">
          <w:rPr>
            <w:rStyle w:val="Hyperlink"/>
            <w:rFonts w:cs="Arial"/>
          </w:rPr>
          <w:t xml:space="preserve">and supporting </w:t>
        </w:r>
        <w:r w:rsidR="007B72F4" w:rsidRPr="004A54A8">
          <w:rPr>
            <w:rStyle w:val="Hyperlink"/>
            <w:rFonts w:cs="Arial"/>
          </w:rPr>
          <w:t xml:space="preserve">download </w:t>
        </w:r>
        <w:r w:rsidR="007150C3" w:rsidRPr="004A54A8">
          <w:rPr>
            <w:rStyle w:val="Hyperlink"/>
            <w:rFonts w:cs="Arial"/>
          </w:rPr>
          <w:t>files</w:t>
        </w:r>
      </w:hyperlink>
      <w:r w:rsidR="007150C3" w:rsidRPr="00573F80">
        <w:rPr>
          <w:rFonts w:ascii="Arial" w:hAnsi="Arial" w:cs="Arial"/>
        </w:rPr>
        <w:t xml:space="preserve"> are </w:t>
      </w:r>
      <w:r w:rsidRPr="00573F80">
        <w:rPr>
          <w:rFonts w:ascii="Arial" w:hAnsi="Arial" w:cs="Arial"/>
        </w:rPr>
        <w:t>available at</w:t>
      </w:r>
      <w:r w:rsidR="00E05431" w:rsidRPr="00573F80">
        <w:rPr>
          <w:rFonts w:ascii="Arial" w:hAnsi="Arial" w:cs="Arial"/>
        </w:rPr>
        <w:t>:</w:t>
      </w:r>
      <w:r w:rsidRPr="00573F80">
        <w:rPr>
          <w:rFonts w:ascii="Arial" w:hAnsi="Arial" w:cs="Arial"/>
        </w:rPr>
        <w:t xml:space="preserve"> </w:t>
      </w:r>
    </w:p>
    <w:p w:rsidR="00D84694" w:rsidRPr="00573F80" w:rsidRDefault="00D2390A" w:rsidP="00F35AA9">
      <w:pPr>
        <w:spacing w:after="240"/>
        <w:ind w:left="360"/>
        <w:rPr>
          <w:rFonts w:ascii="Arial" w:hAnsi="Arial" w:cs="Arial"/>
        </w:rPr>
      </w:pPr>
      <w:hyperlink r:id="rId9" w:tooltip="https://www.cms.gov/Medicare/Medicare-Fee-for-Service-Payment/PhysicianFeeSched/PFS-Federal-Regulation-Notices" w:history="1">
        <w:r w:rsidR="00573F80" w:rsidRPr="00573F80">
          <w:rPr>
            <w:rStyle w:val="Hyperlink"/>
            <w:rFonts w:cs="Arial"/>
          </w:rPr>
          <w:t>https://www.cms.gov/Medicare/Medicare-Fee-for-Service-Payment/PhysicianFeeSched/PFS-Federal-Regulation-Notices</w:t>
        </w:r>
      </w:hyperlink>
    </w:p>
    <w:p w:rsidR="00AF74E0" w:rsidRPr="00573F80" w:rsidRDefault="00E13210" w:rsidP="00F35AA9">
      <w:pPr>
        <w:pStyle w:val="NumberedList"/>
      </w:pPr>
      <w:r w:rsidRPr="00573F80">
        <w:t xml:space="preserve">Revisions </w:t>
      </w:r>
      <w:r w:rsidR="00AF74E0" w:rsidRPr="00573F80">
        <w:t xml:space="preserve">Adopted </w:t>
      </w:r>
      <w:r w:rsidR="006D38B8" w:rsidRPr="00573F80">
        <w:t>by</w:t>
      </w:r>
      <w:r w:rsidR="00AF74E0" w:rsidRPr="00573F80">
        <w:t xml:space="preserve"> Update Order</w:t>
      </w:r>
      <w:r w:rsidRPr="00573F80">
        <w:t xml:space="preserve"> to Conform to Medicare</w:t>
      </w:r>
    </w:p>
    <w:p w:rsidR="000C1373" w:rsidRPr="00573F80" w:rsidRDefault="006B6042" w:rsidP="00F35AA9">
      <w:pPr>
        <w:spacing w:before="240"/>
        <w:ind w:left="360"/>
        <w:rPr>
          <w:rFonts w:ascii="Arial" w:hAnsi="Arial" w:cs="Arial"/>
          <w:b/>
        </w:rPr>
      </w:pPr>
      <w:r w:rsidRPr="00573F80">
        <w:rPr>
          <w:rFonts w:ascii="Arial" w:hAnsi="Arial" w:cs="Arial"/>
          <w:b/>
        </w:rPr>
        <w:t>Update Table</w:t>
      </w:r>
    </w:p>
    <w:p w:rsidR="00EE6F58" w:rsidRPr="00573F80" w:rsidRDefault="00D75FA3" w:rsidP="002C4B0F">
      <w:pPr>
        <w:spacing w:after="240"/>
        <w:ind w:left="360"/>
        <w:rPr>
          <w:rFonts w:ascii="Arial" w:hAnsi="Arial" w:cs="Arial"/>
          <w:b/>
        </w:rPr>
      </w:pPr>
      <w:r w:rsidRPr="00573F80">
        <w:rPr>
          <w:rFonts w:ascii="Arial" w:hAnsi="Arial" w:cs="Arial"/>
          <w:b/>
        </w:rPr>
        <w:t>Title 8 CCR §9789.</w:t>
      </w:r>
      <w:r w:rsidR="00C11960" w:rsidRPr="00573F80">
        <w:rPr>
          <w:rFonts w:ascii="Arial" w:hAnsi="Arial" w:cs="Arial"/>
          <w:b/>
        </w:rPr>
        <w:t>19</w:t>
      </w:r>
      <w:r w:rsidRPr="00573F80">
        <w:rPr>
          <w:rFonts w:ascii="Arial" w:hAnsi="Arial" w:cs="Arial"/>
          <w:b/>
        </w:rPr>
        <w:t>:</w:t>
      </w:r>
      <w:r w:rsidR="008203DF" w:rsidRPr="00573F80">
        <w:rPr>
          <w:rFonts w:ascii="Arial" w:hAnsi="Arial" w:cs="Arial"/>
          <w:b/>
        </w:rPr>
        <w:t xml:space="preserve"> </w:t>
      </w:r>
      <w:r w:rsidR="001A63F4" w:rsidRPr="00573F80">
        <w:rPr>
          <w:rFonts w:ascii="Arial" w:hAnsi="Arial" w:cs="Arial"/>
        </w:rPr>
        <w:t>A new subdivision (</w:t>
      </w:r>
      <w:r w:rsidR="00CD3AFB">
        <w:rPr>
          <w:rFonts w:ascii="Arial" w:hAnsi="Arial" w:cs="Arial"/>
        </w:rPr>
        <w:t>g</w:t>
      </w:r>
      <w:r w:rsidR="001A63F4" w:rsidRPr="00573F80">
        <w:rPr>
          <w:rFonts w:ascii="Arial" w:hAnsi="Arial" w:cs="Arial"/>
        </w:rPr>
        <w:t>) is added, adopting updates f</w:t>
      </w:r>
      <w:r w:rsidRPr="00573F80">
        <w:rPr>
          <w:rFonts w:ascii="Arial" w:hAnsi="Arial" w:cs="Arial"/>
        </w:rPr>
        <w:t xml:space="preserve">or services rendered on or after </w:t>
      </w:r>
      <w:r w:rsidR="002914D1" w:rsidRPr="00573F80">
        <w:rPr>
          <w:rFonts w:ascii="Arial" w:hAnsi="Arial" w:cs="Arial"/>
        </w:rPr>
        <w:t>January</w:t>
      </w:r>
      <w:r w:rsidR="008E7D31" w:rsidRPr="00573F80">
        <w:rPr>
          <w:rFonts w:ascii="Arial" w:hAnsi="Arial" w:cs="Arial"/>
        </w:rPr>
        <w:t xml:space="preserve"> 1</w:t>
      </w:r>
      <w:r w:rsidR="00C11960" w:rsidRPr="00573F80">
        <w:rPr>
          <w:rFonts w:ascii="Arial" w:hAnsi="Arial" w:cs="Arial"/>
        </w:rPr>
        <w:t>, 20</w:t>
      </w:r>
      <w:r w:rsidR="00CD3AFB">
        <w:rPr>
          <w:rFonts w:ascii="Arial" w:hAnsi="Arial" w:cs="Arial"/>
        </w:rPr>
        <w:t>20</w:t>
      </w:r>
      <w:r w:rsidR="00B05413" w:rsidRPr="00573F80">
        <w:rPr>
          <w:rFonts w:ascii="Arial" w:hAnsi="Arial" w:cs="Arial"/>
        </w:rPr>
        <w:t>, to conform to Medicare changes</w:t>
      </w:r>
      <w:r w:rsidRPr="00573F80">
        <w:rPr>
          <w:rFonts w:ascii="Arial" w:hAnsi="Arial" w:cs="Arial"/>
        </w:rPr>
        <w:t xml:space="preserve">, </w:t>
      </w:r>
      <w:r w:rsidR="007B4FEE" w:rsidRPr="00573F80">
        <w:rPr>
          <w:rFonts w:ascii="Arial" w:hAnsi="Arial" w:cs="Arial"/>
        </w:rPr>
        <w:t>as follows:</w:t>
      </w:r>
    </w:p>
    <w:tbl>
      <w:tblPr>
        <w:tblStyle w:val="TableGrid"/>
        <w:tblW w:w="0" w:type="auto"/>
        <w:tblLook w:val="04A0" w:firstRow="1" w:lastRow="0" w:firstColumn="1" w:lastColumn="0" w:noHBand="0" w:noVBand="1"/>
        <w:tblDescription w:val="Adjustment Factors- Services Other than Anesthesia"/>
      </w:tblPr>
      <w:tblGrid>
        <w:gridCol w:w="3063"/>
        <w:gridCol w:w="5433"/>
      </w:tblGrid>
      <w:tr w:rsidR="007F2457" w:rsidRPr="00573F80" w:rsidTr="00C21741">
        <w:trPr>
          <w:cantSplit/>
          <w:tblHeader/>
        </w:trPr>
        <w:tc>
          <w:tcPr>
            <w:tcW w:w="3063" w:type="dxa"/>
          </w:tcPr>
          <w:p w:rsidR="00D77344" w:rsidRPr="00573F80" w:rsidRDefault="00B66132" w:rsidP="006B75AB">
            <w:pPr>
              <w:widowControl w:val="0"/>
              <w:ind w:right="33"/>
              <w:outlineLvl w:val="0"/>
              <w:rPr>
                <w:rFonts w:ascii="Arial" w:hAnsi="Arial" w:cs="Arial"/>
              </w:rPr>
            </w:pPr>
            <w:r w:rsidRPr="00573F80">
              <w:rPr>
                <w:rFonts w:ascii="Arial" w:hAnsi="Arial" w:cs="Arial"/>
              </w:rPr>
              <w:lastRenderedPageBreak/>
              <w:t>Adjustment Factors</w:t>
            </w:r>
            <w:r w:rsidR="00841765">
              <w:rPr>
                <w:rFonts w:ascii="Arial" w:hAnsi="Arial" w:cs="Arial"/>
              </w:rPr>
              <w:t>-</w:t>
            </w:r>
            <w:r w:rsidR="00841765">
              <w:t xml:space="preserve"> </w:t>
            </w:r>
            <w:r w:rsidR="00841765" w:rsidRPr="00841765">
              <w:rPr>
                <w:rFonts w:ascii="Arial" w:hAnsi="Arial" w:cs="Arial"/>
              </w:rPr>
              <w:t>Services Other than Anesthesia</w:t>
            </w:r>
          </w:p>
          <w:p w:rsidR="00B66132" w:rsidRPr="00573F80" w:rsidRDefault="00B66132" w:rsidP="006B75AB">
            <w:pPr>
              <w:widowControl w:val="0"/>
              <w:ind w:right="33"/>
              <w:outlineLvl w:val="0"/>
              <w:rPr>
                <w:rFonts w:ascii="Arial" w:hAnsi="Arial" w:cs="Arial"/>
              </w:rPr>
            </w:pPr>
          </w:p>
        </w:tc>
        <w:tc>
          <w:tcPr>
            <w:tcW w:w="5433" w:type="dxa"/>
          </w:tcPr>
          <w:p w:rsidR="00D77344" w:rsidRPr="00573F80" w:rsidRDefault="00B66132" w:rsidP="002B7D95">
            <w:pPr>
              <w:widowControl w:val="0"/>
              <w:spacing w:after="120"/>
              <w:outlineLvl w:val="0"/>
              <w:rPr>
                <w:rFonts w:ascii="Arial" w:hAnsi="Arial" w:cs="Arial"/>
              </w:rPr>
            </w:pPr>
            <w:r w:rsidRPr="00573F80">
              <w:rPr>
                <w:rFonts w:ascii="Arial" w:hAnsi="Arial" w:cs="Arial"/>
              </w:rPr>
              <w:t xml:space="preserve">Updated </w:t>
            </w:r>
            <w:r w:rsidR="00772309" w:rsidRPr="00573F80">
              <w:rPr>
                <w:rFonts w:ascii="Arial" w:hAnsi="Arial" w:cs="Arial"/>
              </w:rPr>
              <w:t>for</w:t>
            </w:r>
            <w:r w:rsidRPr="00573F80">
              <w:rPr>
                <w:rFonts w:ascii="Arial" w:hAnsi="Arial" w:cs="Arial"/>
              </w:rPr>
              <w:t xml:space="preserve"> </w:t>
            </w:r>
            <w:r w:rsidR="00FE5271" w:rsidRPr="00573F80">
              <w:rPr>
                <w:rFonts w:ascii="Arial" w:hAnsi="Arial" w:cs="Arial"/>
              </w:rPr>
              <w:t>20</w:t>
            </w:r>
            <w:r w:rsidR="00CD3AFB">
              <w:rPr>
                <w:rFonts w:ascii="Arial" w:hAnsi="Arial" w:cs="Arial"/>
              </w:rPr>
              <w:t>20</w:t>
            </w:r>
            <w:r w:rsidRPr="00573F80">
              <w:rPr>
                <w:rFonts w:ascii="Arial" w:hAnsi="Arial" w:cs="Arial"/>
              </w:rPr>
              <w:t>, to i</w:t>
            </w:r>
            <w:r w:rsidR="00B05413" w:rsidRPr="00573F80">
              <w:rPr>
                <w:rFonts w:ascii="Arial" w:hAnsi="Arial" w:cs="Arial"/>
              </w:rPr>
              <w:t>nclude</w:t>
            </w:r>
            <w:r w:rsidRPr="00573F80">
              <w:rPr>
                <w:rFonts w:ascii="Arial" w:hAnsi="Arial" w:cs="Arial"/>
              </w:rPr>
              <w:t xml:space="preserve"> the</w:t>
            </w:r>
            <w:r w:rsidR="00F03DF5" w:rsidRPr="00573F80">
              <w:rPr>
                <w:rFonts w:ascii="Arial" w:hAnsi="Arial" w:cs="Arial"/>
              </w:rPr>
              <w:t xml:space="preserve"> relevant</w:t>
            </w:r>
            <w:r w:rsidRPr="00573F80">
              <w:rPr>
                <w:rFonts w:ascii="Arial" w:hAnsi="Arial" w:cs="Arial"/>
              </w:rPr>
              <w:t xml:space="preserve"> </w:t>
            </w:r>
            <w:r w:rsidR="00FE5271" w:rsidRPr="00573F80">
              <w:rPr>
                <w:rFonts w:ascii="Arial" w:hAnsi="Arial" w:cs="Arial"/>
              </w:rPr>
              <w:t>20</w:t>
            </w:r>
            <w:r w:rsidR="00CD3AFB">
              <w:rPr>
                <w:rFonts w:ascii="Arial" w:hAnsi="Arial" w:cs="Arial"/>
              </w:rPr>
              <w:t>20</w:t>
            </w:r>
            <w:r w:rsidRPr="00573F80">
              <w:rPr>
                <w:rFonts w:ascii="Arial" w:hAnsi="Arial" w:cs="Arial"/>
              </w:rPr>
              <w:t xml:space="preserve"> </w:t>
            </w:r>
            <w:r w:rsidR="00D130BA" w:rsidRPr="00573F80">
              <w:rPr>
                <w:rFonts w:ascii="Arial" w:hAnsi="Arial" w:cs="Arial"/>
              </w:rPr>
              <w:t>Medicare</w:t>
            </w:r>
            <w:r w:rsidRPr="00573F80">
              <w:rPr>
                <w:rFonts w:ascii="Arial" w:hAnsi="Arial" w:cs="Arial"/>
              </w:rPr>
              <w:t xml:space="preserve"> adjustment factors:</w:t>
            </w:r>
          </w:p>
          <w:p w:rsidR="00772309" w:rsidRPr="00573F80" w:rsidRDefault="00772309" w:rsidP="002B7D95">
            <w:pPr>
              <w:widowControl w:val="0"/>
              <w:spacing w:after="120"/>
              <w:outlineLvl w:val="0"/>
              <w:rPr>
                <w:rFonts w:ascii="Arial" w:hAnsi="Arial" w:cs="Arial"/>
              </w:rPr>
            </w:pPr>
            <w:r w:rsidRPr="00573F80">
              <w:rPr>
                <w:rFonts w:ascii="Arial" w:hAnsi="Arial" w:cs="Arial"/>
              </w:rPr>
              <w:t xml:space="preserve">From CY </w:t>
            </w:r>
            <w:r w:rsidR="00FE5271" w:rsidRPr="00573F80">
              <w:rPr>
                <w:rFonts w:ascii="Arial" w:hAnsi="Arial" w:cs="Arial"/>
              </w:rPr>
              <w:t>20</w:t>
            </w:r>
            <w:r w:rsidR="00DF0404">
              <w:rPr>
                <w:rFonts w:ascii="Arial" w:hAnsi="Arial" w:cs="Arial"/>
              </w:rPr>
              <w:t>20</w:t>
            </w:r>
            <w:r w:rsidRPr="00573F80">
              <w:rPr>
                <w:rFonts w:ascii="Arial" w:hAnsi="Arial" w:cs="Arial"/>
              </w:rPr>
              <w:t xml:space="preserve"> Medicare Physician Fee Schedule Final Rule, </w:t>
            </w:r>
            <w:r w:rsidR="00C40508" w:rsidRPr="00573F80">
              <w:rPr>
                <w:rFonts w:ascii="Arial" w:hAnsi="Arial" w:cs="Arial"/>
              </w:rPr>
              <w:t>CMS-1</w:t>
            </w:r>
            <w:r w:rsidR="00DF0404">
              <w:rPr>
                <w:rFonts w:ascii="Arial" w:hAnsi="Arial" w:cs="Arial"/>
              </w:rPr>
              <w:t>715</w:t>
            </w:r>
            <w:r w:rsidR="00C40508" w:rsidRPr="00573F80">
              <w:rPr>
                <w:rFonts w:ascii="Arial" w:hAnsi="Arial" w:cs="Arial"/>
              </w:rPr>
              <w:t>-F</w:t>
            </w:r>
            <w:r w:rsidRPr="00573F80">
              <w:rPr>
                <w:rFonts w:ascii="Arial" w:hAnsi="Arial" w:cs="Arial"/>
              </w:rPr>
              <w:t>:</w:t>
            </w:r>
          </w:p>
          <w:p w:rsidR="00B66132" w:rsidRPr="00573F80" w:rsidRDefault="00FE5271" w:rsidP="002B7D95">
            <w:pPr>
              <w:widowControl w:val="0"/>
              <w:spacing w:after="120"/>
              <w:outlineLvl w:val="0"/>
              <w:rPr>
                <w:rFonts w:ascii="Arial" w:hAnsi="Arial" w:cs="Arial"/>
              </w:rPr>
            </w:pPr>
            <w:r w:rsidRPr="00573F80">
              <w:rPr>
                <w:rFonts w:ascii="Arial" w:hAnsi="Arial" w:cs="Arial"/>
              </w:rPr>
              <w:t>20</w:t>
            </w:r>
            <w:r w:rsidR="00DF0404">
              <w:rPr>
                <w:rFonts w:ascii="Arial" w:hAnsi="Arial" w:cs="Arial"/>
              </w:rPr>
              <w:t>20</w:t>
            </w:r>
            <w:r w:rsidR="00B66132" w:rsidRPr="00573F80">
              <w:rPr>
                <w:rFonts w:ascii="Arial" w:hAnsi="Arial" w:cs="Arial"/>
              </w:rPr>
              <w:t xml:space="preserve"> R</w:t>
            </w:r>
            <w:r w:rsidR="00F03DF5" w:rsidRPr="00573F80">
              <w:rPr>
                <w:rFonts w:ascii="Arial" w:hAnsi="Arial" w:cs="Arial"/>
              </w:rPr>
              <w:t xml:space="preserve">elative </w:t>
            </w:r>
            <w:r w:rsidR="00B66132" w:rsidRPr="00573F80">
              <w:rPr>
                <w:rFonts w:ascii="Arial" w:hAnsi="Arial" w:cs="Arial"/>
              </w:rPr>
              <w:t>V</w:t>
            </w:r>
            <w:r w:rsidR="00F03DF5" w:rsidRPr="00573F80">
              <w:rPr>
                <w:rFonts w:ascii="Arial" w:hAnsi="Arial" w:cs="Arial"/>
              </w:rPr>
              <w:t>alue Unit</w:t>
            </w:r>
            <w:r w:rsidR="00B66132" w:rsidRPr="00573F80">
              <w:rPr>
                <w:rFonts w:ascii="Arial" w:hAnsi="Arial" w:cs="Arial"/>
              </w:rPr>
              <w:t xml:space="preserve"> </w:t>
            </w:r>
            <w:r w:rsidR="00F03DF5" w:rsidRPr="00573F80">
              <w:rPr>
                <w:rFonts w:ascii="Arial" w:hAnsi="Arial" w:cs="Arial"/>
              </w:rPr>
              <w:t>budget</w:t>
            </w:r>
            <w:r w:rsidR="00B66132" w:rsidRPr="00573F80">
              <w:rPr>
                <w:rFonts w:ascii="Arial" w:hAnsi="Arial" w:cs="Arial"/>
              </w:rPr>
              <w:t xml:space="preserve"> neutrality adjustment factor: </w:t>
            </w:r>
            <w:r w:rsidR="00DF0404">
              <w:rPr>
                <w:rFonts w:ascii="Arial" w:hAnsi="Arial" w:cs="Arial"/>
              </w:rPr>
              <w:t>1</w:t>
            </w:r>
            <w:r w:rsidR="00972362" w:rsidRPr="00573F80">
              <w:rPr>
                <w:rFonts w:ascii="Arial" w:hAnsi="Arial" w:cs="Arial"/>
              </w:rPr>
              <w:t>.</w:t>
            </w:r>
            <w:r w:rsidR="00DF0404">
              <w:rPr>
                <w:rFonts w:ascii="Arial" w:hAnsi="Arial" w:cs="Arial"/>
              </w:rPr>
              <w:t>0014</w:t>
            </w:r>
            <w:r w:rsidR="00546FF2">
              <w:rPr>
                <w:rFonts w:ascii="Arial" w:hAnsi="Arial" w:cs="Arial"/>
              </w:rPr>
              <w:t xml:space="preserve"> [</w:t>
            </w:r>
            <w:r w:rsidR="00546FF2" w:rsidRPr="00573F80">
              <w:rPr>
                <w:rFonts w:ascii="Arial" w:hAnsi="Arial" w:cs="Arial"/>
              </w:rPr>
              <w:t>8</w:t>
            </w:r>
            <w:r w:rsidR="00546FF2">
              <w:rPr>
                <w:rFonts w:ascii="Arial" w:hAnsi="Arial" w:cs="Arial"/>
              </w:rPr>
              <w:t>4</w:t>
            </w:r>
            <w:r w:rsidR="00546FF2" w:rsidRPr="00573F80">
              <w:rPr>
                <w:rFonts w:ascii="Arial" w:hAnsi="Arial" w:cs="Arial"/>
              </w:rPr>
              <w:t xml:space="preserve"> Fed. Reg. </w:t>
            </w:r>
            <w:r w:rsidR="00546FF2">
              <w:rPr>
                <w:rFonts w:ascii="Arial" w:hAnsi="Arial" w:cs="Arial"/>
              </w:rPr>
              <w:t xml:space="preserve">63152, </w:t>
            </w:r>
            <w:r w:rsidR="00772309" w:rsidRPr="00573F80">
              <w:rPr>
                <w:rFonts w:ascii="Arial" w:hAnsi="Arial" w:cs="Arial"/>
              </w:rPr>
              <w:t xml:space="preserve">Table </w:t>
            </w:r>
            <w:r w:rsidR="00DF0404">
              <w:rPr>
                <w:rFonts w:ascii="Arial" w:hAnsi="Arial" w:cs="Arial"/>
              </w:rPr>
              <w:t>117</w:t>
            </w:r>
            <w:r w:rsidR="00772309" w:rsidRPr="00573F80">
              <w:rPr>
                <w:rFonts w:ascii="Arial" w:hAnsi="Arial" w:cs="Arial"/>
              </w:rPr>
              <w:t>]</w:t>
            </w:r>
          </w:p>
          <w:p w:rsidR="00B80F46" w:rsidRPr="00573F80" w:rsidRDefault="00FE5271" w:rsidP="002B7D95">
            <w:pPr>
              <w:widowControl w:val="0"/>
              <w:spacing w:after="120"/>
              <w:outlineLvl w:val="0"/>
              <w:rPr>
                <w:rFonts w:ascii="Arial" w:hAnsi="Arial" w:cs="Arial"/>
              </w:rPr>
            </w:pPr>
            <w:r w:rsidRPr="00573F80">
              <w:rPr>
                <w:rFonts w:ascii="Arial" w:hAnsi="Arial" w:cs="Arial"/>
              </w:rPr>
              <w:t>20</w:t>
            </w:r>
            <w:r w:rsidR="00D41715">
              <w:rPr>
                <w:rFonts w:ascii="Arial" w:hAnsi="Arial" w:cs="Arial"/>
              </w:rPr>
              <w:t>20</w:t>
            </w:r>
            <w:r w:rsidR="00B66132" w:rsidRPr="00573F80">
              <w:rPr>
                <w:rFonts w:ascii="Arial" w:hAnsi="Arial" w:cs="Arial"/>
              </w:rPr>
              <w:t xml:space="preserve"> Annual increase in the MEI: </w:t>
            </w:r>
            <w:r w:rsidR="00720EF6" w:rsidRPr="00573F80">
              <w:rPr>
                <w:rFonts w:ascii="Arial" w:hAnsi="Arial" w:cs="Arial"/>
              </w:rPr>
              <w:t>1.01</w:t>
            </w:r>
            <w:r w:rsidR="00285962">
              <w:rPr>
                <w:rFonts w:ascii="Arial" w:hAnsi="Arial" w:cs="Arial"/>
              </w:rPr>
              <w:t>9</w:t>
            </w:r>
            <w:r w:rsidR="00720EF6" w:rsidRPr="00573F80">
              <w:rPr>
                <w:rFonts w:ascii="Arial" w:hAnsi="Arial" w:cs="Arial"/>
              </w:rPr>
              <w:t xml:space="preserve"> </w:t>
            </w:r>
            <w:r w:rsidR="00772309" w:rsidRPr="00573F80">
              <w:rPr>
                <w:rFonts w:ascii="Arial" w:hAnsi="Arial" w:cs="Arial"/>
              </w:rPr>
              <w:t>[</w:t>
            </w:r>
            <w:r w:rsidR="00720EF6" w:rsidRPr="00573F80">
              <w:rPr>
                <w:rFonts w:ascii="Arial" w:hAnsi="Arial" w:cs="Arial"/>
              </w:rPr>
              <w:t>8</w:t>
            </w:r>
            <w:r w:rsidR="00285962">
              <w:rPr>
                <w:rFonts w:ascii="Arial" w:hAnsi="Arial" w:cs="Arial"/>
              </w:rPr>
              <w:t>4</w:t>
            </w:r>
            <w:r w:rsidR="00241B31" w:rsidRPr="00573F80">
              <w:rPr>
                <w:rFonts w:ascii="Arial" w:hAnsi="Arial" w:cs="Arial"/>
              </w:rPr>
              <w:t xml:space="preserve"> Fed. Reg. </w:t>
            </w:r>
            <w:r w:rsidR="00285962">
              <w:rPr>
                <w:rFonts w:ascii="Arial" w:hAnsi="Arial" w:cs="Arial"/>
              </w:rPr>
              <w:t>62629</w:t>
            </w:r>
            <w:r w:rsidR="00772309" w:rsidRPr="00573F80">
              <w:rPr>
                <w:rFonts w:ascii="Arial" w:hAnsi="Arial" w:cs="Arial"/>
              </w:rPr>
              <w:t>]</w:t>
            </w:r>
          </w:p>
          <w:p w:rsidR="00B66132" w:rsidRPr="00573F80" w:rsidRDefault="00B05413" w:rsidP="006B75AB">
            <w:pPr>
              <w:widowControl w:val="0"/>
              <w:outlineLvl w:val="0"/>
              <w:rPr>
                <w:rFonts w:ascii="Arial" w:hAnsi="Arial" w:cs="Arial"/>
              </w:rPr>
            </w:pPr>
            <w:r w:rsidRPr="00573F80">
              <w:rPr>
                <w:rFonts w:ascii="Arial" w:hAnsi="Arial" w:cs="Arial"/>
              </w:rPr>
              <w:t>[See detailed explanation set forth below this table.]</w:t>
            </w:r>
          </w:p>
          <w:p w:rsidR="00B66132" w:rsidRPr="00573F80" w:rsidRDefault="00B66132" w:rsidP="006B75AB">
            <w:pPr>
              <w:widowControl w:val="0"/>
              <w:outlineLvl w:val="0"/>
              <w:rPr>
                <w:rFonts w:ascii="Arial" w:hAnsi="Arial" w:cs="Arial"/>
              </w:rPr>
            </w:pPr>
          </w:p>
        </w:tc>
      </w:tr>
      <w:tr w:rsidR="00841765" w:rsidRPr="00573F80" w:rsidTr="00C21741">
        <w:trPr>
          <w:cantSplit/>
          <w:tblHeader/>
        </w:trPr>
        <w:tc>
          <w:tcPr>
            <w:tcW w:w="3063" w:type="dxa"/>
          </w:tcPr>
          <w:p w:rsidR="00841765" w:rsidRPr="00573F80" w:rsidRDefault="00841765" w:rsidP="006B75AB">
            <w:pPr>
              <w:widowControl w:val="0"/>
              <w:ind w:right="33"/>
              <w:outlineLvl w:val="0"/>
              <w:rPr>
                <w:rFonts w:ascii="Arial" w:hAnsi="Arial" w:cs="Arial"/>
              </w:rPr>
            </w:pPr>
            <w:r w:rsidRPr="00841765">
              <w:rPr>
                <w:rFonts w:ascii="Arial" w:hAnsi="Arial" w:cs="Arial"/>
              </w:rPr>
              <w:t>Adjustment Factors - Anesthesia</w:t>
            </w:r>
          </w:p>
        </w:tc>
        <w:tc>
          <w:tcPr>
            <w:tcW w:w="5433" w:type="dxa"/>
          </w:tcPr>
          <w:p w:rsidR="00546FF2" w:rsidRPr="00573F80" w:rsidRDefault="00546FF2" w:rsidP="002B7D95">
            <w:pPr>
              <w:widowControl w:val="0"/>
              <w:spacing w:after="120"/>
              <w:outlineLvl w:val="0"/>
              <w:rPr>
                <w:rFonts w:ascii="Arial" w:hAnsi="Arial" w:cs="Arial"/>
              </w:rPr>
            </w:pPr>
            <w:r w:rsidRPr="00573F80">
              <w:rPr>
                <w:rFonts w:ascii="Arial" w:hAnsi="Arial" w:cs="Arial"/>
              </w:rPr>
              <w:t>Updated for 20</w:t>
            </w:r>
            <w:r>
              <w:rPr>
                <w:rFonts w:ascii="Arial" w:hAnsi="Arial" w:cs="Arial"/>
              </w:rPr>
              <w:t>20</w:t>
            </w:r>
            <w:r w:rsidRPr="00573F80">
              <w:rPr>
                <w:rFonts w:ascii="Arial" w:hAnsi="Arial" w:cs="Arial"/>
              </w:rPr>
              <w:t>, to include the relevant 20</w:t>
            </w:r>
            <w:r>
              <w:rPr>
                <w:rFonts w:ascii="Arial" w:hAnsi="Arial" w:cs="Arial"/>
              </w:rPr>
              <w:t>20</w:t>
            </w:r>
            <w:r w:rsidRPr="00573F80">
              <w:rPr>
                <w:rFonts w:ascii="Arial" w:hAnsi="Arial" w:cs="Arial"/>
              </w:rPr>
              <w:t xml:space="preserve"> Medicare adjustment factors:</w:t>
            </w:r>
          </w:p>
          <w:p w:rsidR="00546FF2" w:rsidRDefault="00546FF2" w:rsidP="002B7D95">
            <w:pPr>
              <w:widowControl w:val="0"/>
              <w:spacing w:after="120"/>
              <w:outlineLvl w:val="0"/>
              <w:rPr>
                <w:rFonts w:ascii="Arial" w:hAnsi="Arial" w:cs="Arial"/>
              </w:rPr>
            </w:pPr>
            <w:r w:rsidRPr="00573F80">
              <w:rPr>
                <w:rFonts w:ascii="Arial" w:hAnsi="Arial" w:cs="Arial"/>
              </w:rPr>
              <w:t>From CY 20</w:t>
            </w:r>
            <w:r>
              <w:rPr>
                <w:rFonts w:ascii="Arial" w:hAnsi="Arial" w:cs="Arial"/>
              </w:rPr>
              <w:t>20</w:t>
            </w:r>
            <w:r w:rsidRPr="00573F80">
              <w:rPr>
                <w:rFonts w:ascii="Arial" w:hAnsi="Arial" w:cs="Arial"/>
              </w:rPr>
              <w:t xml:space="preserve"> Medicare Physician Fee Schedule Final Rule, CMS-1</w:t>
            </w:r>
            <w:r>
              <w:rPr>
                <w:rFonts w:ascii="Arial" w:hAnsi="Arial" w:cs="Arial"/>
              </w:rPr>
              <w:t>715</w:t>
            </w:r>
            <w:r w:rsidRPr="00573F80">
              <w:rPr>
                <w:rFonts w:ascii="Arial" w:hAnsi="Arial" w:cs="Arial"/>
              </w:rPr>
              <w:t>-F:</w:t>
            </w:r>
          </w:p>
          <w:p w:rsidR="00546FF2" w:rsidRDefault="00546FF2" w:rsidP="002B7D95">
            <w:pPr>
              <w:widowControl w:val="0"/>
              <w:spacing w:after="120"/>
              <w:outlineLvl w:val="0"/>
              <w:rPr>
                <w:rFonts w:ascii="Arial" w:hAnsi="Arial" w:cs="Arial"/>
              </w:rPr>
            </w:pPr>
            <w:r w:rsidRPr="00573F80">
              <w:rPr>
                <w:rFonts w:ascii="Arial" w:hAnsi="Arial" w:cs="Arial"/>
              </w:rPr>
              <w:t>20</w:t>
            </w:r>
            <w:r>
              <w:rPr>
                <w:rFonts w:ascii="Arial" w:hAnsi="Arial" w:cs="Arial"/>
              </w:rPr>
              <w:t>20</w:t>
            </w:r>
            <w:r w:rsidRPr="00573F80">
              <w:rPr>
                <w:rFonts w:ascii="Arial" w:hAnsi="Arial" w:cs="Arial"/>
              </w:rPr>
              <w:t xml:space="preserve"> Relative Value Unit budget neutrality adjustment factor: </w:t>
            </w:r>
            <w:r>
              <w:rPr>
                <w:rFonts w:ascii="Arial" w:hAnsi="Arial" w:cs="Arial"/>
              </w:rPr>
              <w:t>1</w:t>
            </w:r>
            <w:r w:rsidRPr="00573F80">
              <w:rPr>
                <w:rFonts w:ascii="Arial" w:hAnsi="Arial" w:cs="Arial"/>
              </w:rPr>
              <w:t>.</w:t>
            </w:r>
            <w:r>
              <w:rPr>
                <w:rFonts w:ascii="Arial" w:hAnsi="Arial" w:cs="Arial"/>
              </w:rPr>
              <w:t>0014 [</w:t>
            </w:r>
            <w:r w:rsidRPr="00573F80">
              <w:rPr>
                <w:rFonts w:ascii="Arial" w:hAnsi="Arial" w:cs="Arial"/>
              </w:rPr>
              <w:t>8</w:t>
            </w:r>
            <w:r>
              <w:rPr>
                <w:rFonts w:ascii="Arial" w:hAnsi="Arial" w:cs="Arial"/>
              </w:rPr>
              <w:t>4</w:t>
            </w:r>
            <w:r w:rsidRPr="00573F80">
              <w:rPr>
                <w:rFonts w:ascii="Arial" w:hAnsi="Arial" w:cs="Arial"/>
              </w:rPr>
              <w:t xml:space="preserve"> Fed. Reg. </w:t>
            </w:r>
            <w:r>
              <w:rPr>
                <w:rFonts w:ascii="Arial" w:hAnsi="Arial" w:cs="Arial"/>
              </w:rPr>
              <w:t xml:space="preserve">63152, </w:t>
            </w:r>
            <w:r w:rsidRPr="00573F80">
              <w:rPr>
                <w:rFonts w:ascii="Arial" w:hAnsi="Arial" w:cs="Arial"/>
              </w:rPr>
              <w:t xml:space="preserve">Table </w:t>
            </w:r>
            <w:r>
              <w:rPr>
                <w:rFonts w:ascii="Arial" w:hAnsi="Arial" w:cs="Arial"/>
              </w:rPr>
              <w:t>118</w:t>
            </w:r>
            <w:r w:rsidRPr="00573F80">
              <w:rPr>
                <w:rFonts w:ascii="Arial" w:hAnsi="Arial" w:cs="Arial"/>
              </w:rPr>
              <w:t>]</w:t>
            </w:r>
          </w:p>
          <w:p w:rsidR="00546FF2" w:rsidRDefault="00546FF2" w:rsidP="00546FF2">
            <w:pPr>
              <w:widowControl w:val="0"/>
              <w:outlineLvl w:val="0"/>
              <w:rPr>
                <w:rFonts w:ascii="Arial" w:hAnsi="Arial" w:cs="Arial"/>
              </w:rPr>
            </w:pPr>
            <w:r w:rsidRPr="00573F80">
              <w:rPr>
                <w:rFonts w:ascii="Arial" w:hAnsi="Arial" w:cs="Arial"/>
              </w:rPr>
              <w:t>20</w:t>
            </w:r>
            <w:r>
              <w:rPr>
                <w:rFonts w:ascii="Arial" w:hAnsi="Arial" w:cs="Arial"/>
              </w:rPr>
              <w:t>20</w:t>
            </w:r>
            <w:r w:rsidRPr="00573F80">
              <w:rPr>
                <w:rFonts w:ascii="Arial" w:hAnsi="Arial" w:cs="Arial"/>
              </w:rPr>
              <w:t xml:space="preserve"> Anesthesia practice expense and </w:t>
            </w:r>
            <w:r>
              <w:rPr>
                <w:rFonts w:ascii="Arial" w:hAnsi="Arial" w:cs="Arial"/>
              </w:rPr>
              <w:t>malpractice adjustment factor: 0</w:t>
            </w:r>
            <w:r w:rsidRPr="00573F80">
              <w:rPr>
                <w:rFonts w:ascii="Arial" w:hAnsi="Arial" w:cs="Arial"/>
              </w:rPr>
              <w:t>.</w:t>
            </w:r>
            <w:r>
              <w:rPr>
                <w:rFonts w:ascii="Arial" w:hAnsi="Arial" w:cs="Arial"/>
              </w:rPr>
              <w:t>9954</w:t>
            </w:r>
            <w:r w:rsidRPr="00573F80">
              <w:rPr>
                <w:rFonts w:ascii="Arial" w:hAnsi="Arial" w:cs="Arial"/>
              </w:rPr>
              <w:t xml:space="preserve"> </w:t>
            </w:r>
          </w:p>
          <w:p w:rsidR="00546FF2" w:rsidRPr="00573F80" w:rsidRDefault="00546FF2" w:rsidP="002B7D95">
            <w:pPr>
              <w:widowControl w:val="0"/>
              <w:spacing w:after="120"/>
              <w:outlineLvl w:val="0"/>
              <w:rPr>
                <w:rFonts w:ascii="Arial" w:hAnsi="Arial" w:cs="Arial"/>
              </w:rPr>
            </w:pPr>
            <w:r>
              <w:rPr>
                <w:rFonts w:ascii="Arial" w:hAnsi="Arial" w:cs="Arial"/>
              </w:rPr>
              <w:t>[</w:t>
            </w:r>
            <w:r w:rsidRPr="00573F80">
              <w:rPr>
                <w:rFonts w:ascii="Arial" w:hAnsi="Arial" w:cs="Arial"/>
              </w:rPr>
              <w:t>8</w:t>
            </w:r>
            <w:r>
              <w:rPr>
                <w:rFonts w:ascii="Arial" w:hAnsi="Arial" w:cs="Arial"/>
              </w:rPr>
              <w:t>4</w:t>
            </w:r>
            <w:r w:rsidRPr="00573F80">
              <w:rPr>
                <w:rFonts w:ascii="Arial" w:hAnsi="Arial" w:cs="Arial"/>
              </w:rPr>
              <w:t xml:space="preserve"> Fed. Reg. </w:t>
            </w:r>
            <w:r>
              <w:rPr>
                <w:rFonts w:ascii="Arial" w:hAnsi="Arial" w:cs="Arial"/>
              </w:rPr>
              <w:t xml:space="preserve">63152, </w:t>
            </w:r>
            <w:r w:rsidRPr="00573F80">
              <w:rPr>
                <w:rFonts w:ascii="Arial" w:hAnsi="Arial" w:cs="Arial"/>
              </w:rPr>
              <w:t xml:space="preserve">Table </w:t>
            </w:r>
            <w:r>
              <w:rPr>
                <w:rFonts w:ascii="Arial" w:hAnsi="Arial" w:cs="Arial"/>
              </w:rPr>
              <w:t>118</w:t>
            </w:r>
            <w:r w:rsidRPr="00573F80">
              <w:rPr>
                <w:rFonts w:ascii="Arial" w:hAnsi="Arial" w:cs="Arial"/>
              </w:rPr>
              <w:t>]</w:t>
            </w:r>
          </w:p>
          <w:p w:rsidR="00546FF2" w:rsidRPr="00573F80" w:rsidRDefault="00546FF2" w:rsidP="002B7D95">
            <w:pPr>
              <w:widowControl w:val="0"/>
              <w:spacing w:after="120"/>
              <w:outlineLvl w:val="0"/>
              <w:rPr>
                <w:rFonts w:ascii="Arial" w:hAnsi="Arial" w:cs="Arial"/>
              </w:rPr>
            </w:pPr>
            <w:r w:rsidRPr="00573F80">
              <w:rPr>
                <w:rFonts w:ascii="Arial" w:hAnsi="Arial" w:cs="Arial"/>
              </w:rPr>
              <w:t>20</w:t>
            </w:r>
            <w:r>
              <w:rPr>
                <w:rFonts w:ascii="Arial" w:hAnsi="Arial" w:cs="Arial"/>
              </w:rPr>
              <w:t>20</w:t>
            </w:r>
            <w:r w:rsidRPr="00573F80">
              <w:rPr>
                <w:rFonts w:ascii="Arial" w:hAnsi="Arial" w:cs="Arial"/>
              </w:rPr>
              <w:t xml:space="preserve"> Annual increase in the MEI: 1.01</w:t>
            </w:r>
            <w:r>
              <w:rPr>
                <w:rFonts w:ascii="Arial" w:hAnsi="Arial" w:cs="Arial"/>
              </w:rPr>
              <w:t>9</w:t>
            </w:r>
            <w:r w:rsidRPr="00573F80">
              <w:rPr>
                <w:rFonts w:ascii="Arial" w:hAnsi="Arial" w:cs="Arial"/>
              </w:rPr>
              <w:t xml:space="preserve"> [8</w:t>
            </w:r>
            <w:r>
              <w:rPr>
                <w:rFonts w:ascii="Arial" w:hAnsi="Arial" w:cs="Arial"/>
              </w:rPr>
              <w:t>4</w:t>
            </w:r>
            <w:r w:rsidRPr="00573F80">
              <w:rPr>
                <w:rFonts w:ascii="Arial" w:hAnsi="Arial" w:cs="Arial"/>
              </w:rPr>
              <w:t xml:space="preserve"> Fed. Reg. </w:t>
            </w:r>
            <w:r>
              <w:rPr>
                <w:rFonts w:ascii="Arial" w:hAnsi="Arial" w:cs="Arial"/>
              </w:rPr>
              <w:t>62629</w:t>
            </w:r>
            <w:r w:rsidRPr="00573F80">
              <w:rPr>
                <w:rFonts w:ascii="Arial" w:hAnsi="Arial" w:cs="Arial"/>
              </w:rPr>
              <w:t>]</w:t>
            </w:r>
          </w:p>
          <w:p w:rsidR="00546FF2" w:rsidRPr="00573F80" w:rsidRDefault="00546FF2" w:rsidP="00546FF2">
            <w:pPr>
              <w:widowControl w:val="0"/>
              <w:outlineLvl w:val="0"/>
              <w:rPr>
                <w:rFonts w:ascii="Arial" w:hAnsi="Arial" w:cs="Arial"/>
              </w:rPr>
            </w:pPr>
            <w:r w:rsidRPr="00573F80">
              <w:rPr>
                <w:rFonts w:ascii="Arial" w:hAnsi="Arial" w:cs="Arial"/>
              </w:rPr>
              <w:t>[See detailed explanation set forth below this table.]</w:t>
            </w:r>
          </w:p>
          <w:p w:rsidR="00841765" w:rsidRPr="00573F80" w:rsidRDefault="00841765" w:rsidP="006B75AB">
            <w:pPr>
              <w:widowControl w:val="0"/>
              <w:outlineLvl w:val="0"/>
              <w:rPr>
                <w:rFonts w:ascii="Arial" w:hAnsi="Arial" w:cs="Arial"/>
              </w:rPr>
            </w:pPr>
          </w:p>
        </w:tc>
      </w:tr>
      <w:tr w:rsidR="007F2457" w:rsidRPr="00573F80" w:rsidTr="00C21741">
        <w:trPr>
          <w:cantSplit/>
          <w:tblHeader/>
        </w:trPr>
        <w:tc>
          <w:tcPr>
            <w:tcW w:w="3063" w:type="dxa"/>
          </w:tcPr>
          <w:p w:rsidR="00D77344" w:rsidRPr="00573F80" w:rsidRDefault="00D77344" w:rsidP="006B75AB">
            <w:pPr>
              <w:widowControl w:val="0"/>
              <w:ind w:right="33"/>
              <w:outlineLvl w:val="0"/>
              <w:rPr>
                <w:rFonts w:ascii="Arial" w:hAnsi="Arial" w:cs="Arial"/>
              </w:rPr>
            </w:pPr>
            <w:r w:rsidRPr="00573F80">
              <w:rPr>
                <w:rFonts w:ascii="Arial" w:hAnsi="Arial" w:cs="Arial"/>
              </w:rPr>
              <w:t>Anesthesia Base Units by CPT Code</w:t>
            </w:r>
          </w:p>
          <w:p w:rsidR="00D77344" w:rsidRPr="00573F80" w:rsidRDefault="00D77344" w:rsidP="006B75AB">
            <w:pPr>
              <w:widowControl w:val="0"/>
              <w:ind w:right="33"/>
              <w:outlineLvl w:val="0"/>
              <w:rPr>
                <w:rFonts w:ascii="Arial" w:hAnsi="Arial" w:cs="Arial"/>
              </w:rPr>
            </w:pPr>
          </w:p>
        </w:tc>
        <w:tc>
          <w:tcPr>
            <w:tcW w:w="5433" w:type="dxa"/>
          </w:tcPr>
          <w:p w:rsidR="00D77344" w:rsidRPr="00573F80" w:rsidRDefault="00152942" w:rsidP="00546FF2">
            <w:pPr>
              <w:widowControl w:val="0"/>
              <w:spacing w:after="240"/>
              <w:outlineLvl w:val="0"/>
              <w:rPr>
                <w:rFonts w:ascii="Arial" w:hAnsi="Arial" w:cs="Arial"/>
              </w:rPr>
            </w:pPr>
            <w:r w:rsidRPr="00573F80">
              <w:rPr>
                <w:rFonts w:ascii="Arial" w:hAnsi="Arial" w:cs="Arial"/>
              </w:rPr>
              <w:t>T</w:t>
            </w:r>
            <w:r w:rsidR="00D77344" w:rsidRPr="00573F80">
              <w:rPr>
                <w:rFonts w:ascii="Arial" w:hAnsi="Arial" w:cs="Arial"/>
              </w:rPr>
              <w:t xml:space="preserve">he anesthesia base units </w:t>
            </w:r>
            <w:r w:rsidR="004502BE" w:rsidRPr="00573F80">
              <w:rPr>
                <w:rFonts w:ascii="Arial" w:hAnsi="Arial" w:cs="Arial"/>
              </w:rPr>
              <w:t xml:space="preserve">are unchanged </w:t>
            </w:r>
            <w:r w:rsidR="004A1EBA" w:rsidRPr="00573F80">
              <w:rPr>
                <w:rFonts w:ascii="Arial" w:hAnsi="Arial" w:cs="Arial"/>
              </w:rPr>
              <w:t>for 20</w:t>
            </w:r>
            <w:r w:rsidR="00093493">
              <w:rPr>
                <w:rFonts w:ascii="Arial" w:hAnsi="Arial" w:cs="Arial"/>
              </w:rPr>
              <w:t>20</w:t>
            </w:r>
            <w:r w:rsidR="004502BE" w:rsidRPr="00573F80">
              <w:rPr>
                <w:rFonts w:ascii="Arial" w:hAnsi="Arial" w:cs="Arial"/>
              </w:rPr>
              <w:t>, and</w:t>
            </w:r>
            <w:r w:rsidR="004A1EBA" w:rsidRPr="00573F80">
              <w:rPr>
                <w:rFonts w:ascii="Arial" w:hAnsi="Arial" w:cs="Arial"/>
              </w:rPr>
              <w:t xml:space="preserve"> are found in</w:t>
            </w:r>
            <w:r w:rsidR="004502BE" w:rsidRPr="00573F80">
              <w:rPr>
                <w:rFonts w:ascii="Arial" w:hAnsi="Arial" w:cs="Arial"/>
              </w:rPr>
              <w:t xml:space="preserve"> </w:t>
            </w:r>
            <w:hyperlink r:id="rId10" w:history="1">
              <w:r w:rsidR="004A1EBA" w:rsidRPr="00573F80">
                <w:rPr>
                  <w:rStyle w:val="Hyperlink"/>
                  <w:rFonts w:cs="Arial"/>
                  <w:u w:val="none"/>
                </w:rPr>
                <w:t>cms1676f_cy_2018_anesthesia_base_units.xlsx</w:t>
              </w:r>
            </w:hyperlink>
            <w:r w:rsidR="004A1EBA" w:rsidRPr="00573F80">
              <w:rPr>
                <w:rFonts w:ascii="Arial" w:hAnsi="Arial" w:cs="Arial"/>
              </w:rPr>
              <w:t>.</w:t>
            </w:r>
          </w:p>
        </w:tc>
      </w:tr>
      <w:tr w:rsidR="007F2457" w:rsidRPr="00573F80" w:rsidTr="00C21741">
        <w:trPr>
          <w:cantSplit/>
          <w:tblHeader/>
        </w:trPr>
        <w:tc>
          <w:tcPr>
            <w:tcW w:w="3063" w:type="dxa"/>
          </w:tcPr>
          <w:p w:rsidR="00D77344" w:rsidRPr="00573F80" w:rsidRDefault="00D77344" w:rsidP="006B75AB">
            <w:pPr>
              <w:widowControl w:val="0"/>
              <w:ind w:right="33"/>
              <w:outlineLvl w:val="0"/>
              <w:rPr>
                <w:rFonts w:ascii="Arial" w:hAnsi="Arial" w:cs="Arial"/>
              </w:rPr>
            </w:pPr>
            <w:r w:rsidRPr="00573F80">
              <w:rPr>
                <w:rFonts w:ascii="Arial" w:hAnsi="Arial" w:cs="Arial"/>
              </w:rPr>
              <w:t>California-Specific Codes</w:t>
            </w:r>
          </w:p>
          <w:p w:rsidR="00D77344" w:rsidRPr="00573F80" w:rsidRDefault="00D77344" w:rsidP="006B75AB">
            <w:pPr>
              <w:widowControl w:val="0"/>
              <w:ind w:right="33"/>
              <w:outlineLvl w:val="0"/>
              <w:rPr>
                <w:rFonts w:ascii="Arial" w:hAnsi="Arial" w:cs="Arial"/>
              </w:rPr>
            </w:pPr>
          </w:p>
        </w:tc>
        <w:tc>
          <w:tcPr>
            <w:tcW w:w="5433" w:type="dxa"/>
          </w:tcPr>
          <w:p w:rsidR="00D77344" w:rsidRPr="00573F80" w:rsidRDefault="00F2682F" w:rsidP="002F1E32">
            <w:pPr>
              <w:widowControl w:val="0"/>
              <w:spacing w:after="240"/>
              <w:outlineLvl w:val="0"/>
              <w:rPr>
                <w:rFonts w:ascii="Arial" w:hAnsi="Arial" w:cs="Arial"/>
              </w:rPr>
            </w:pPr>
            <w:r w:rsidRPr="00573F80">
              <w:rPr>
                <w:rFonts w:ascii="Arial" w:hAnsi="Arial" w:cs="Arial"/>
              </w:rPr>
              <w:t xml:space="preserve">The maximum fee for each of these codes has been updated by the MEI </w:t>
            </w:r>
            <w:r w:rsidR="00A40DDB" w:rsidRPr="00573F80">
              <w:rPr>
                <w:rFonts w:ascii="Arial" w:hAnsi="Arial" w:cs="Arial"/>
              </w:rPr>
              <w:t>1</w:t>
            </w:r>
            <w:r w:rsidR="0060365F" w:rsidRPr="00573F80">
              <w:rPr>
                <w:rFonts w:ascii="Arial" w:hAnsi="Arial" w:cs="Arial"/>
              </w:rPr>
              <w:t>.</w:t>
            </w:r>
            <w:r w:rsidR="00FC2B86">
              <w:rPr>
                <w:rFonts w:ascii="Arial" w:hAnsi="Arial" w:cs="Arial"/>
              </w:rPr>
              <w:t>9</w:t>
            </w:r>
            <w:r w:rsidR="00A40DDB" w:rsidRPr="00573F80">
              <w:rPr>
                <w:rFonts w:ascii="Arial" w:hAnsi="Arial" w:cs="Arial"/>
              </w:rPr>
              <w:t xml:space="preserve">% increase </w:t>
            </w:r>
            <w:r w:rsidRPr="00573F80">
              <w:rPr>
                <w:rFonts w:ascii="Arial" w:hAnsi="Arial" w:cs="Arial"/>
              </w:rPr>
              <w:t>(1.0</w:t>
            </w:r>
            <w:r w:rsidR="00A40DDB" w:rsidRPr="00573F80">
              <w:rPr>
                <w:rFonts w:ascii="Arial" w:hAnsi="Arial" w:cs="Arial"/>
              </w:rPr>
              <w:t>1</w:t>
            </w:r>
            <w:r w:rsidR="00FC2B86">
              <w:rPr>
                <w:rFonts w:ascii="Arial" w:hAnsi="Arial" w:cs="Arial"/>
              </w:rPr>
              <w:t>9</w:t>
            </w:r>
            <w:r w:rsidRPr="00573F80">
              <w:rPr>
                <w:rFonts w:ascii="Arial" w:hAnsi="Arial" w:cs="Arial"/>
              </w:rPr>
              <w:t>) pursuant to section 9789.12.14.</w:t>
            </w:r>
          </w:p>
        </w:tc>
      </w:tr>
      <w:tr w:rsidR="007F2457" w:rsidRPr="00573F80" w:rsidTr="00C21741">
        <w:trPr>
          <w:cantSplit/>
          <w:tblHeader/>
        </w:trPr>
        <w:tc>
          <w:tcPr>
            <w:tcW w:w="3063" w:type="dxa"/>
          </w:tcPr>
          <w:p w:rsidR="00D77344" w:rsidRPr="002F1E32" w:rsidRDefault="00D77344" w:rsidP="006B75AB">
            <w:pPr>
              <w:widowControl w:val="0"/>
              <w:ind w:right="33"/>
              <w:outlineLvl w:val="0"/>
              <w:rPr>
                <w:rFonts w:ascii="Arial" w:hAnsi="Arial" w:cs="Arial"/>
              </w:rPr>
            </w:pPr>
            <w:r w:rsidRPr="002F1E32">
              <w:rPr>
                <w:rFonts w:ascii="Arial" w:hAnsi="Arial" w:cs="Arial"/>
              </w:rPr>
              <w:t>CCI Edits: Medically Unlikely Edits</w:t>
            </w:r>
          </w:p>
          <w:p w:rsidR="00D77344" w:rsidRPr="002F1E32" w:rsidRDefault="00D77344" w:rsidP="006B75AB">
            <w:pPr>
              <w:widowControl w:val="0"/>
              <w:ind w:right="33"/>
              <w:outlineLvl w:val="0"/>
              <w:rPr>
                <w:rFonts w:ascii="Arial" w:hAnsi="Arial" w:cs="Arial"/>
              </w:rPr>
            </w:pPr>
          </w:p>
        </w:tc>
        <w:tc>
          <w:tcPr>
            <w:tcW w:w="5433" w:type="dxa"/>
          </w:tcPr>
          <w:p w:rsidR="00D77344" w:rsidRPr="002F1E32" w:rsidRDefault="002F1E32" w:rsidP="002F1E32">
            <w:pPr>
              <w:spacing w:after="240"/>
              <w:rPr>
                <w:rFonts w:ascii="Arial" w:eastAsia="Calibri" w:hAnsi="Arial" w:cs="Arial"/>
                <w:color w:val="000000"/>
                <w:u w:val="single"/>
              </w:rPr>
            </w:pPr>
            <w:r w:rsidRPr="002F1E32">
              <w:rPr>
                <w:rFonts w:ascii="Arial" w:hAnsi="Arial" w:cs="Arial"/>
              </w:rPr>
              <w:t>Updated f</w:t>
            </w:r>
            <w:r w:rsidR="00353B81" w:rsidRPr="002F1E32">
              <w:rPr>
                <w:rFonts w:ascii="Arial" w:hAnsi="Arial" w:cs="Arial"/>
              </w:rPr>
              <w:t xml:space="preserve">or services rendered on or after </w:t>
            </w:r>
            <w:r w:rsidR="001D282D" w:rsidRPr="002F1E32">
              <w:rPr>
                <w:rFonts w:ascii="Arial" w:hAnsi="Arial" w:cs="Arial"/>
              </w:rPr>
              <w:t>January</w:t>
            </w:r>
            <w:r w:rsidR="00353B81" w:rsidRPr="002F1E32">
              <w:rPr>
                <w:rFonts w:ascii="Arial" w:hAnsi="Arial" w:cs="Arial"/>
              </w:rPr>
              <w:t xml:space="preserve"> 1, 20</w:t>
            </w:r>
            <w:r w:rsidRPr="002F1E32">
              <w:rPr>
                <w:rFonts w:ascii="Arial" w:hAnsi="Arial" w:cs="Arial"/>
              </w:rPr>
              <w:t>20</w:t>
            </w:r>
            <w:r w:rsidR="00353B81" w:rsidRPr="002F1E32">
              <w:rPr>
                <w:rFonts w:ascii="Arial" w:hAnsi="Arial" w:cs="Arial"/>
              </w:rPr>
              <w:t xml:space="preserve">, use: </w:t>
            </w:r>
            <w:r w:rsidR="00353B81" w:rsidRPr="002F1E32">
              <w:rPr>
                <w:rFonts w:ascii="Arial" w:eastAsia="Calibri" w:hAnsi="Arial" w:cs="Arial"/>
                <w:color w:val="000000"/>
              </w:rPr>
              <w:t xml:space="preserve">“Practitioner Services MUE Table – Effective </w:t>
            </w:r>
            <w:r w:rsidR="005A3D83" w:rsidRPr="002F1E32">
              <w:rPr>
                <w:rFonts w:ascii="Arial" w:eastAsia="Calibri" w:hAnsi="Arial" w:cs="Arial"/>
                <w:color w:val="000000"/>
              </w:rPr>
              <w:t>01</w:t>
            </w:r>
            <w:r w:rsidRPr="002F1E32">
              <w:rPr>
                <w:rFonts w:ascii="Arial" w:eastAsia="Calibri" w:hAnsi="Arial" w:cs="Arial"/>
                <w:color w:val="000000"/>
              </w:rPr>
              <w:t>-</w:t>
            </w:r>
            <w:r w:rsidR="001D282D" w:rsidRPr="002F1E32">
              <w:rPr>
                <w:rFonts w:ascii="Arial" w:eastAsia="Calibri" w:hAnsi="Arial" w:cs="Arial"/>
                <w:color w:val="000000"/>
              </w:rPr>
              <w:t>0</w:t>
            </w:r>
            <w:r w:rsidR="00353B81" w:rsidRPr="002F1E32">
              <w:rPr>
                <w:rFonts w:ascii="Arial" w:eastAsia="Calibri" w:hAnsi="Arial" w:cs="Arial"/>
                <w:color w:val="000000"/>
              </w:rPr>
              <w:t>1</w:t>
            </w:r>
            <w:r w:rsidRPr="002F1E32">
              <w:rPr>
                <w:rFonts w:ascii="Arial" w:eastAsia="Calibri" w:hAnsi="Arial" w:cs="Arial"/>
                <w:color w:val="000000"/>
              </w:rPr>
              <w:t>-</w:t>
            </w:r>
            <w:r w:rsidR="00353B81" w:rsidRPr="002F1E32">
              <w:rPr>
                <w:rFonts w:ascii="Arial" w:eastAsia="Calibri" w:hAnsi="Arial" w:cs="Arial"/>
                <w:color w:val="000000"/>
              </w:rPr>
              <w:t>20</w:t>
            </w:r>
            <w:r w:rsidRPr="002F1E32">
              <w:rPr>
                <w:rFonts w:ascii="Arial" w:eastAsia="Calibri" w:hAnsi="Arial" w:cs="Arial"/>
                <w:color w:val="000000"/>
              </w:rPr>
              <w:t>20</w:t>
            </w:r>
            <w:r>
              <w:rPr>
                <w:rFonts w:ascii="Arial" w:eastAsia="Calibri" w:hAnsi="Arial" w:cs="Arial"/>
                <w:color w:val="000000"/>
              </w:rPr>
              <w:t xml:space="preserve"> (ZIP)</w:t>
            </w:r>
            <w:r w:rsidRPr="002F1E32">
              <w:rPr>
                <w:rFonts w:ascii="Arial" w:eastAsia="Calibri" w:hAnsi="Arial" w:cs="Arial"/>
                <w:color w:val="000000"/>
              </w:rPr>
              <w:t>, excluding all codes listed with Practitioner Services MUE Value of “0” (zero)</w:t>
            </w:r>
            <w:r w:rsidR="00353B81" w:rsidRPr="002F1E32">
              <w:rPr>
                <w:rFonts w:ascii="Arial" w:eastAsia="Calibri" w:hAnsi="Arial" w:cs="Arial"/>
                <w:color w:val="000000"/>
              </w:rPr>
              <w:t>.”</w:t>
            </w:r>
          </w:p>
        </w:tc>
      </w:tr>
      <w:tr w:rsidR="007F2457" w:rsidRPr="00573F80" w:rsidTr="00C21741">
        <w:trPr>
          <w:cantSplit/>
          <w:tblHeader/>
        </w:trPr>
        <w:tc>
          <w:tcPr>
            <w:tcW w:w="3063" w:type="dxa"/>
          </w:tcPr>
          <w:p w:rsidR="00D77344" w:rsidRPr="0072369C" w:rsidRDefault="00D77344" w:rsidP="006B75AB">
            <w:pPr>
              <w:widowControl w:val="0"/>
              <w:ind w:right="33"/>
              <w:outlineLvl w:val="0"/>
              <w:rPr>
                <w:rFonts w:ascii="Arial" w:hAnsi="Arial" w:cs="Arial"/>
              </w:rPr>
            </w:pPr>
            <w:r w:rsidRPr="0072369C">
              <w:rPr>
                <w:rFonts w:ascii="Arial" w:hAnsi="Arial" w:cs="Arial"/>
              </w:rPr>
              <w:lastRenderedPageBreak/>
              <w:t>CCI Edits: National Correct Coding Initiative Policy Manual for Medicare Services</w:t>
            </w:r>
          </w:p>
          <w:p w:rsidR="00D77344" w:rsidRPr="0072369C" w:rsidRDefault="00D77344" w:rsidP="006B75AB">
            <w:pPr>
              <w:widowControl w:val="0"/>
              <w:ind w:right="33"/>
              <w:outlineLvl w:val="0"/>
              <w:rPr>
                <w:rFonts w:ascii="Arial" w:hAnsi="Arial" w:cs="Arial"/>
              </w:rPr>
            </w:pPr>
          </w:p>
        </w:tc>
        <w:tc>
          <w:tcPr>
            <w:tcW w:w="5433" w:type="dxa"/>
          </w:tcPr>
          <w:p w:rsidR="00D77344" w:rsidRPr="0072369C" w:rsidRDefault="00F2682F" w:rsidP="0072369C">
            <w:pPr>
              <w:widowControl w:val="0"/>
              <w:outlineLvl w:val="0"/>
              <w:rPr>
                <w:rFonts w:ascii="Arial" w:hAnsi="Arial" w:cs="Arial"/>
              </w:rPr>
            </w:pPr>
            <w:r w:rsidRPr="0072369C">
              <w:rPr>
                <w:rFonts w:ascii="Arial" w:hAnsi="Arial" w:cs="Arial"/>
              </w:rPr>
              <w:t xml:space="preserve">Updated to the </w:t>
            </w:r>
            <w:r w:rsidR="00B05413" w:rsidRPr="0072369C">
              <w:rPr>
                <w:rFonts w:ascii="Arial" w:hAnsi="Arial" w:cs="Arial"/>
              </w:rPr>
              <w:t xml:space="preserve">CMS’ </w:t>
            </w:r>
            <w:r w:rsidR="00FE5271" w:rsidRPr="0072369C">
              <w:rPr>
                <w:rFonts w:ascii="Arial" w:hAnsi="Arial" w:cs="Arial"/>
              </w:rPr>
              <w:t>20</w:t>
            </w:r>
            <w:r w:rsidR="0072369C" w:rsidRPr="0072369C">
              <w:rPr>
                <w:rFonts w:ascii="Arial" w:hAnsi="Arial" w:cs="Arial"/>
              </w:rPr>
              <w:t>20</w:t>
            </w:r>
            <w:r w:rsidRPr="0072369C">
              <w:rPr>
                <w:rFonts w:ascii="Arial" w:hAnsi="Arial" w:cs="Arial"/>
              </w:rPr>
              <w:t xml:space="preserve"> annual manual.</w:t>
            </w:r>
          </w:p>
        </w:tc>
      </w:tr>
      <w:tr w:rsidR="007F2457" w:rsidRPr="00573F80" w:rsidTr="00C21741">
        <w:trPr>
          <w:cantSplit/>
          <w:tblHeader/>
        </w:trPr>
        <w:tc>
          <w:tcPr>
            <w:tcW w:w="3063" w:type="dxa"/>
          </w:tcPr>
          <w:p w:rsidR="00A40DDB" w:rsidRPr="0072369C" w:rsidRDefault="00D77344" w:rsidP="006B75AB">
            <w:pPr>
              <w:widowControl w:val="0"/>
              <w:ind w:right="33"/>
              <w:outlineLvl w:val="0"/>
              <w:rPr>
                <w:rFonts w:ascii="Arial" w:hAnsi="Arial" w:cs="Arial"/>
              </w:rPr>
            </w:pPr>
            <w:r w:rsidRPr="0072369C">
              <w:rPr>
                <w:rFonts w:ascii="Arial" w:hAnsi="Arial" w:cs="Arial"/>
              </w:rPr>
              <w:t xml:space="preserve">CCI Edits: </w:t>
            </w:r>
            <w:r w:rsidR="00A40DDB" w:rsidRPr="0072369C">
              <w:rPr>
                <w:rFonts w:ascii="Arial" w:hAnsi="Arial" w:cs="Arial"/>
              </w:rPr>
              <w:t xml:space="preserve">Practitioner </w:t>
            </w:r>
            <w:r w:rsidR="00A933AC" w:rsidRPr="0072369C">
              <w:rPr>
                <w:rFonts w:ascii="Arial" w:hAnsi="Arial" w:cs="Arial"/>
              </w:rPr>
              <w:t>Procedure to Procedure (</w:t>
            </w:r>
            <w:r w:rsidR="00A40DDB" w:rsidRPr="0072369C">
              <w:rPr>
                <w:rFonts w:ascii="Arial" w:hAnsi="Arial" w:cs="Arial"/>
              </w:rPr>
              <w:t>PTP</w:t>
            </w:r>
            <w:r w:rsidR="00A933AC" w:rsidRPr="0072369C">
              <w:rPr>
                <w:rFonts w:ascii="Arial" w:hAnsi="Arial" w:cs="Arial"/>
              </w:rPr>
              <w:t>) Edits</w:t>
            </w:r>
          </w:p>
          <w:p w:rsidR="00D77344" w:rsidRPr="0072369C" w:rsidRDefault="00D77344" w:rsidP="006B75AB">
            <w:pPr>
              <w:widowControl w:val="0"/>
              <w:ind w:right="33"/>
              <w:outlineLvl w:val="0"/>
              <w:rPr>
                <w:rFonts w:ascii="Arial" w:hAnsi="Arial" w:cs="Arial"/>
              </w:rPr>
            </w:pPr>
          </w:p>
        </w:tc>
        <w:tc>
          <w:tcPr>
            <w:tcW w:w="5433" w:type="dxa"/>
          </w:tcPr>
          <w:p w:rsidR="00D77344" w:rsidRPr="0072369C" w:rsidRDefault="00317DDF" w:rsidP="0072369C">
            <w:pPr>
              <w:widowControl w:val="0"/>
              <w:outlineLvl w:val="0"/>
              <w:rPr>
                <w:rFonts w:ascii="Arial" w:hAnsi="Arial" w:cs="Arial"/>
              </w:rPr>
            </w:pPr>
            <w:r w:rsidRPr="0072369C">
              <w:rPr>
                <w:rFonts w:ascii="Arial" w:hAnsi="Arial" w:cs="Arial"/>
              </w:rPr>
              <w:t>U</w:t>
            </w:r>
            <w:r w:rsidR="00F2682F" w:rsidRPr="0072369C">
              <w:rPr>
                <w:rFonts w:ascii="Arial" w:hAnsi="Arial" w:cs="Arial"/>
              </w:rPr>
              <w:t>pdated to</w:t>
            </w:r>
            <w:r w:rsidR="00B05413" w:rsidRPr="0072369C">
              <w:rPr>
                <w:rFonts w:ascii="Arial" w:hAnsi="Arial" w:cs="Arial"/>
              </w:rPr>
              <w:t xml:space="preserve"> </w:t>
            </w:r>
            <w:r w:rsidR="003B5077" w:rsidRPr="0072369C">
              <w:rPr>
                <w:rFonts w:ascii="Arial" w:hAnsi="Arial" w:cs="Arial"/>
              </w:rPr>
              <w:t xml:space="preserve">January 1, </w:t>
            </w:r>
            <w:r w:rsidR="00FE5271" w:rsidRPr="0072369C">
              <w:rPr>
                <w:rFonts w:ascii="Arial" w:hAnsi="Arial" w:cs="Arial"/>
              </w:rPr>
              <w:t>20</w:t>
            </w:r>
            <w:r w:rsidR="0072369C">
              <w:rPr>
                <w:rFonts w:ascii="Arial" w:hAnsi="Arial" w:cs="Arial"/>
              </w:rPr>
              <w:t>20 Practitioner PTP Edits</w:t>
            </w:r>
            <w:r w:rsidR="00F2682F" w:rsidRPr="0072369C">
              <w:rPr>
                <w:rFonts w:ascii="Arial" w:hAnsi="Arial" w:cs="Arial"/>
              </w:rPr>
              <w:t>.</w:t>
            </w:r>
            <w:r w:rsidR="005A4E44" w:rsidRPr="0072369C">
              <w:rPr>
                <w:rFonts w:ascii="Arial" w:hAnsi="Arial" w:cs="Arial"/>
              </w:rPr>
              <w:t xml:space="preserve"> </w:t>
            </w:r>
          </w:p>
        </w:tc>
      </w:tr>
      <w:tr w:rsidR="007F2457" w:rsidRPr="00573F80" w:rsidTr="00C21741">
        <w:trPr>
          <w:cantSplit/>
          <w:tblHeader/>
        </w:trPr>
        <w:tc>
          <w:tcPr>
            <w:tcW w:w="3063" w:type="dxa"/>
          </w:tcPr>
          <w:p w:rsidR="00D77344" w:rsidRPr="00847DB0" w:rsidRDefault="00D77344" w:rsidP="006B75AB">
            <w:pPr>
              <w:widowControl w:val="0"/>
              <w:ind w:right="33"/>
              <w:outlineLvl w:val="0"/>
              <w:rPr>
                <w:rFonts w:ascii="Arial" w:hAnsi="Arial" w:cs="Arial"/>
              </w:rPr>
            </w:pPr>
            <w:r w:rsidRPr="00847DB0">
              <w:rPr>
                <w:rFonts w:ascii="Arial" w:hAnsi="Arial" w:cs="Arial"/>
              </w:rPr>
              <w:t>CMS’ Medicare National Physician Fee Schedule Relative Value File [Zip]</w:t>
            </w:r>
          </w:p>
          <w:p w:rsidR="00D77344" w:rsidRPr="00847DB0" w:rsidRDefault="00D77344" w:rsidP="006B75AB">
            <w:pPr>
              <w:widowControl w:val="0"/>
              <w:ind w:right="33"/>
              <w:outlineLvl w:val="0"/>
              <w:rPr>
                <w:rFonts w:ascii="Arial" w:hAnsi="Arial" w:cs="Arial"/>
              </w:rPr>
            </w:pPr>
          </w:p>
        </w:tc>
        <w:tc>
          <w:tcPr>
            <w:tcW w:w="5433" w:type="dxa"/>
          </w:tcPr>
          <w:p w:rsidR="00D77344" w:rsidRPr="00847DB0" w:rsidRDefault="00963D23" w:rsidP="00847DB0">
            <w:pPr>
              <w:widowControl w:val="0"/>
              <w:outlineLvl w:val="0"/>
              <w:rPr>
                <w:rFonts w:ascii="Arial" w:hAnsi="Arial" w:cs="Arial"/>
              </w:rPr>
            </w:pPr>
            <w:r w:rsidRPr="00847DB0">
              <w:rPr>
                <w:rFonts w:ascii="Arial" w:hAnsi="Arial" w:cs="Arial"/>
              </w:rPr>
              <w:t xml:space="preserve">Updated to the </w:t>
            </w:r>
            <w:r w:rsidR="00A40DDB" w:rsidRPr="00847DB0">
              <w:rPr>
                <w:rFonts w:ascii="Arial" w:hAnsi="Arial" w:cs="Arial"/>
              </w:rPr>
              <w:t xml:space="preserve">CMS’ </w:t>
            </w:r>
            <w:r w:rsidR="00FE5271" w:rsidRPr="00847DB0">
              <w:rPr>
                <w:rFonts w:ascii="Arial" w:hAnsi="Arial" w:cs="Arial"/>
              </w:rPr>
              <w:t>20</w:t>
            </w:r>
            <w:r w:rsidR="00847DB0" w:rsidRPr="00847DB0">
              <w:rPr>
                <w:rFonts w:ascii="Arial" w:hAnsi="Arial" w:cs="Arial"/>
              </w:rPr>
              <w:t>20</w:t>
            </w:r>
            <w:r w:rsidR="00A40DDB" w:rsidRPr="00847DB0">
              <w:rPr>
                <w:rFonts w:ascii="Arial" w:hAnsi="Arial" w:cs="Arial"/>
              </w:rPr>
              <w:t xml:space="preserve"> RVU</w:t>
            </w:r>
            <w:r w:rsidR="00847DB0" w:rsidRPr="00847DB0">
              <w:rPr>
                <w:rFonts w:ascii="Arial" w:hAnsi="Arial" w:cs="Arial"/>
              </w:rPr>
              <w:t>20</w:t>
            </w:r>
            <w:r w:rsidR="00A40DDB" w:rsidRPr="00847DB0">
              <w:rPr>
                <w:rFonts w:ascii="Arial" w:hAnsi="Arial" w:cs="Arial"/>
              </w:rPr>
              <w:t>A</w:t>
            </w:r>
            <w:r w:rsidRPr="00847DB0">
              <w:rPr>
                <w:rFonts w:ascii="Arial" w:hAnsi="Arial" w:cs="Arial"/>
              </w:rPr>
              <w:t>.</w:t>
            </w:r>
          </w:p>
        </w:tc>
      </w:tr>
      <w:tr w:rsidR="007F2457" w:rsidRPr="00573F80" w:rsidTr="00C21741">
        <w:trPr>
          <w:cantSplit/>
          <w:tblHeader/>
        </w:trPr>
        <w:tc>
          <w:tcPr>
            <w:tcW w:w="3063" w:type="dxa"/>
          </w:tcPr>
          <w:p w:rsidR="00D77344" w:rsidRPr="00573F80" w:rsidRDefault="00D77344" w:rsidP="006B75AB">
            <w:pPr>
              <w:widowControl w:val="0"/>
              <w:ind w:right="33"/>
              <w:outlineLvl w:val="0"/>
              <w:rPr>
                <w:rFonts w:ascii="Arial" w:hAnsi="Arial" w:cs="Arial"/>
              </w:rPr>
            </w:pPr>
            <w:r w:rsidRPr="00573F80">
              <w:rPr>
                <w:rFonts w:ascii="Arial" w:hAnsi="Arial" w:cs="Arial"/>
              </w:rPr>
              <w:t>Conversion Factors adjusted for MEI and Relative Va</w:t>
            </w:r>
            <w:r w:rsidR="00D130BA" w:rsidRPr="00573F80">
              <w:rPr>
                <w:rFonts w:ascii="Arial" w:hAnsi="Arial" w:cs="Arial"/>
              </w:rPr>
              <w:t>lue Scale adjustment factor</w:t>
            </w:r>
          </w:p>
          <w:p w:rsidR="00D77344" w:rsidRPr="00573F80" w:rsidRDefault="00D77344" w:rsidP="006B75AB">
            <w:pPr>
              <w:widowControl w:val="0"/>
              <w:ind w:right="33"/>
              <w:outlineLvl w:val="0"/>
              <w:rPr>
                <w:rFonts w:ascii="Arial" w:hAnsi="Arial" w:cs="Arial"/>
              </w:rPr>
            </w:pPr>
          </w:p>
        </w:tc>
        <w:tc>
          <w:tcPr>
            <w:tcW w:w="5433" w:type="dxa"/>
          </w:tcPr>
          <w:p w:rsidR="00CA51C9" w:rsidRDefault="00B05413" w:rsidP="006B75AB">
            <w:pPr>
              <w:widowControl w:val="0"/>
              <w:outlineLvl w:val="0"/>
              <w:rPr>
                <w:rFonts w:ascii="Arial" w:hAnsi="Arial" w:cs="Arial"/>
              </w:rPr>
            </w:pPr>
            <w:r w:rsidRPr="00573F80">
              <w:rPr>
                <w:rFonts w:ascii="Arial" w:hAnsi="Arial" w:cs="Arial"/>
              </w:rPr>
              <w:t xml:space="preserve">Updated </w:t>
            </w:r>
            <w:r w:rsidR="00D76A3E" w:rsidRPr="00573F80">
              <w:rPr>
                <w:rFonts w:ascii="Arial" w:hAnsi="Arial" w:cs="Arial"/>
              </w:rPr>
              <w:t xml:space="preserve">the conversion factors </w:t>
            </w:r>
            <w:r w:rsidR="00571D6D" w:rsidRPr="00573F80">
              <w:rPr>
                <w:rFonts w:ascii="Arial" w:hAnsi="Arial" w:cs="Arial"/>
              </w:rPr>
              <w:t xml:space="preserve">in accordance with subdivision (c) of </w:t>
            </w:r>
            <w:r w:rsidR="00C93709">
              <w:rPr>
                <w:rFonts w:ascii="Arial" w:hAnsi="Arial" w:cs="Arial"/>
              </w:rPr>
              <w:t xml:space="preserve">title </w:t>
            </w:r>
            <w:r w:rsidR="00D76A3E" w:rsidRPr="00573F80">
              <w:rPr>
                <w:rFonts w:ascii="Arial" w:hAnsi="Arial" w:cs="Arial"/>
              </w:rPr>
              <w:t>8</w:t>
            </w:r>
            <w:r w:rsidR="00C93709">
              <w:rPr>
                <w:rFonts w:ascii="Arial" w:hAnsi="Arial" w:cs="Arial"/>
              </w:rPr>
              <w:t>,</w:t>
            </w:r>
            <w:r w:rsidR="00D76A3E" w:rsidRPr="00573F80">
              <w:rPr>
                <w:rFonts w:ascii="Arial" w:hAnsi="Arial" w:cs="Arial"/>
              </w:rPr>
              <w:t xml:space="preserve"> C</w:t>
            </w:r>
            <w:r w:rsidR="00C93709">
              <w:rPr>
                <w:rFonts w:ascii="Arial" w:hAnsi="Arial" w:cs="Arial"/>
              </w:rPr>
              <w:t xml:space="preserve">alifornia </w:t>
            </w:r>
            <w:r w:rsidR="00D76A3E" w:rsidRPr="00573F80">
              <w:rPr>
                <w:rFonts w:ascii="Arial" w:hAnsi="Arial" w:cs="Arial"/>
              </w:rPr>
              <w:t>C</w:t>
            </w:r>
            <w:r w:rsidR="00C93709">
              <w:rPr>
                <w:rFonts w:ascii="Arial" w:hAnsi="Arial" w:cs="Arial"/>
              </w:rPr>
              <w:t xml:space="preserve">ode of </w:t>
            </w:r>
            <w:r w:rsidR="00D76A3E" w:rsidRPr="00573F80">
              <w:rPr>
                <w:rFonts w:ascii="Arial" w:hAnsi="Arial" w:cs="Arial"/>
              </w:rPr>
              <w:t>R</w:t>
            </w:r>
            <w:r w:rsidR="00CA51C9">
              <w:rPr>
                <w:rFonts w:ascii="Arial" w:hAnsi="Arial" w:cs="Arial"/>
              </w:rPr>
              <w:t>egulations,</w:t>
            </w:r>
            <w:r w:rsidR="00D76A3E" w:rsidRPr="00573F80">
              <w:rPr>
                <w:rFonts w:ascii="Arial" w:hAnsi="Arial" w:cs="Arial"/>
              </w:rPr>
              <w:t xml:space="preserve"> §</w:t>
            </w:r>
            <w:r w:rsidR="00CA51C9">
              <w:rPr>
                <w:rFonts w:ascii="Arial" w:hAnsi="Arial" w:cs="Arial"/>
              </w:rPr>
              <w:t xml:space="preserve"> </w:t>
            </w:r>
            <w:r w:rsidR="00D76A3E" w:rsidRPr="00573F80">
              <w:rPr>
                <w:rFonts w:ascii="Arial" w:hAnsi="Arial" w:cs="Arial"/>
              </w:rPr>
              <w:t>9789.12.5.</w:t>
            </w:r>
            <w:r w:rsidR="00D130BA" w:rsidRPr="00573F80">
              <w:rPr>
                <w:rFonts w:ascii="Arial" w:hAnsi="Arial" w:cs="Arial"/>
              </w:rPr>
              <w:t xml:space="preserve"> The </w:t>
            </w:r>
            <w:r w:rsidR="00FE5271" w:rsidRPr="00573F80">
              <w:rPr>
                <w:rFonts w:ascii="Arial" w:hAnsi="Arial" w:cs="Arial"/>
              </w:rPr>
              <w:t>20</w:t>
            </w:r>
            <w:r w:rsidR="00E64EEF">
              <w:rPr>
                <w:rFonts w:ascii="Arial" w:hAnsi="Arial" w:cs="Arial"/>
              </w:rPr>
              <w:t>20</w:t>
            </w:r>
            <w:r w:rsidR="008420EE">
              <w:rPr>
                <w:rFonts w:ascii="Arial" w:hAnsi="Arial" w:cs="Arial"/>
              </w:rPr>
              <w:t xml:space="preserve"> Adjusted Conversion Factor for </w:t>
            </w:r>
            <w:r w:rsidR="00CA51C9">
              <w:rPr>
                <w:rFonts w:ascii="Arial" w:hAnsi="Arial" w:cs="Arial"/>
              </w:rPr>
              <w:t>services other than Anesthesia is the Conversion Factor</w:t>
            </w:r>
            <w:r w:rsidR="00CA51C9" w:rsidRPr="00573F80">
              <w:rPr>
                <w:rFonts w:ascii="Arial" w:hAnsi="Arial" w:cs="Arial"/>
              </w:rPr>
              <w:t xml:space="preserve"> used to determine the maximum fees</w:t>
            </w:r>
            <w:r w:rsidR="00CA51C9">
              <w:rPr>
                <w:rFonts w:ascii="Arial" w:hAnsi="Arial" w:cs="Arial"/>
              </w:rPr>
              <w:t>.</w:t>
            </w:r>
          </w:p>
          <w:p w:rsidR="00CA51C9" w:rsidRDefault="00CA51C9" w:rsidP="006B75AB">
            <w:pPr>
              <w:widowControl w:val="0"/>
              <w:outlineLvl w:val="0"/>
              <w:rPr>
                <w:rFonts w:ascii="Arial" w:hAnsi="Arial" w:cs="Arial"/>
              </w:rPr>
            </w:pPr>
          </w:p>
          <w:p w:rsidR="00D77344" w:rsidRPr="00573F80" w:rsidRDefault="00CA51C9" w:rsidP="006B75AB">
            <w:pPr>
              <w:widowControl w:val="0"/>
              <w:outlineLvl w:val="0"/>
              <w:rPr>
                <w:rFonts w:ascii="Arial" w:hAnsi="Arial" w:cs="Arial"/>
              </w:rPr>
            </w:pPr>
            <w:r w:rsidRPr="00573F80">
              <w:rPr>
                <w:rFonts w:ascii="Arial" w:hAnsi="Arial" w:cs="Arial"/>
              </w:rPr>
              <w:t xml:space="preserve">The </w:t>
            </w:r>
            <w:r>
              <w:rPr>
                <w:rFonts w:ascii="Arial" w:hAnsi="Arial" w:cs="Arial"/>
              </w:rPr>
              <w:t>Conversion Factor for anesthesia is adjusted for the relative value scale budget neutrality adjustment, the practice expense and malpractice adjustment and the MEI to calculate the updated anesthesia conversion factor for 2020. The anesthesia conversion factor is further adjusted to calculate</w:t>
            </w:r>
            <w:r w:rsidR="008420EE">
              <w:rPr>
                <w:rFonts w:ascii="Arial" w:hAnsi="Arial" w:cs="Arial"/>
              </w:rPr>
              <w:t xml:space="preserve"> the 2020 GPCI-Adjusted Anesthesia Conversion Factor</w:t>
            </w:r>
            <w:r w:rsidR="00B8144F">
              <w:rPr>
                <w:rFonts w:ascii="Arial" w:hAnsi="Arial" w:cs="Arial"/>
              </w:rPr>
              <w:t>s</w:t>
            </w:r>
            <w:r w:rsidR="00D130BA" w:rsidRPr="00573F80">
              <w:rPr>
                <w:rFonts w:ascii="Arial" w:hAnsi="Arial" w:cs="Arial"/>
              </w:rPr>
              <w:t xml:space="preserve"> </w:t>
            </w:r>
            <w:r>
              <w:rPr>
                <w:rFonts w:ascii="Arial" w:hAnsi="Arial" w:cs="Arial"/>
              </w:rPr>
              <w:t>in Table A that are</w:t>
            </w:r>
            <w:r w:rsidR="00D130BA" w:rsidRPr="00573F80">
              <w:rPr>
                <w:rFonts w:ascii="Arial" w:hAnsi="Arial" w:cs="Arial"/>
              </w:rPr>
              <w:t xml:space="preserve"> used to determine the maximum fees.</w:t>
            </w:r>
          </w:p>
          <w:p w:rsidR="00B05413" w:rsidRPr="00573F80" w:rsidRDefault="00B05413" w:rsidP="006B75AB">
            <w:pPr>
              <w:widowControl w:val="0"/>
              <w:outlineLvl w:val="0"/>
              <w:rPr>
                <w:rFonts w:ascii="Arial" w:hAnsi="Arial" w:cs="Arial"/>
              </w:rPr>
            </w:pPr>
          </w:p>
          <w:p w:rsidR="00B05413" w:rsidRPr="00573F80" w:rsidRDefault="00B05413" w:rsidP="006B75AB">
            <w:pPr>
              <w:widowControl w:val="0"/>
              <w:outlineLvl w:val="0"/>
              <w:rPr>
                <w:rFonts w:ascii="Arial" w:hAnsi="Arial" w:cs="Arial"/>
              </w:rPr>
            </w:pPr>
            <w:r w:rsidRPr="00573F80">
              <w:rPr>
                <w:rFonts w:ascii="Arial" w:hAnsi="Arial" w:cs="Arial"/>
              </w:rPr>
              <w:t>[See detailed explanation set forth below this table.]</w:t>
            </w:r>
          </w:p>
          <w:p w:rsidR="00B05413" w:rsidRPr="00573F80" w:rsidRDefault="00B05413" w:rsidP="006B75AB">
            <w:pPr>
              <w:widowControl w:val="0"/>
              <w:outlineLvl w:val="0"/>
              <w:rPr>
                <w:rFonts w:ascii="Arial" w:hAnsi="Arial" w:cs="Arial"/>
              </w:rPr>
            </w:pPr>
          </w:p>
        </w:tc>
      </w:tr>
      <w:tr w:rsidR="00D77344" w:rsidRPr="00573F80" w:rsidTr="00C21741">
        <w:trPr>
          <w:cantSplit/>
          <w:tblHeader/>
        </w:trPr>
        <w:tc>
          <w:tcPr>
            <w:tcW w:w="3063" w:type="dxa"/>
          </w:tcPr>
          <w:p w:rsidR="00D77344" w:rsidRPr="0072369C" w:rsidRDefault="00D77344" w:rsidP="00E63A46">
            <w:pPr>
              <w:widowControl w:val="0"/>
              <w:ind w:right="33"/>
              <w:outlineLvl w:val="0"/>
              <w:rPr>
                <w:rFonts w:ascii="Arial" w:hAnsi="Arial" w:cs="Arial"/>
              </w:rPr>
            </w:pPr>
            <w:r w:rsidRPr="0072369C">
              <w:rPr>
                <w:rFonts w:ascii="Arial" w:hAnsi="Arial" w:cs="Arial"/>
              </w:rPr>
              <w:t>Current Procedural Terminology (CPT®)</w:t>
            </w:r>
          </w:p>
          <w:p w:rsidR="009D02C8" w:rsidRPr="0072369C" w:rsidRDefault="009D02C8" w:rsidP="00E63A46">
            <w:pPr>
              <w:widowControl w:val="0"/>
              <w:ind w:right="33"/>
              <w:outlineLvl w:val="0"/>
              <w:rPr>
                <w:rFonts w:ascii="Arial" w:hAnsi="Arial" w:cs="Arial"/>
              </w:rPr>
            </w:pPr>
          </w:p>
        </w:tc>
        <w:tc>
          <w:tcPr>
            <w:tcW w:w="5433" w:type="dxa"/>
          </w:tcPr>
          <w:p w:rsidR="00D77344" w:rsidRPr="0072369C" w:rsidRDefault="007158F1" w:rsidP="00E64EEF">
            <w:pPr>
              <w:widowControl w:val="0"/>
              <w:outlineLvl w:val="0"/>
              <w:rPr>
                <w:rFonts w:ascii="Arial" w:hAnsi="Arial" w:cs="Arial"/>
              </w:rPr>
            </w:pPr>
            <w:r w:rsidRPr="0072369C">
              <w:rPr>
                <w:rFonts w:ascii="Arial" w:hAnsi="Arial" w:cs="Arial"/>
              </w:rPr>
              <w:t xml:space="preserve">Updated to CPT® </w:t>
            </w:r>
            <w:r w:rsidR="00FE5271" w:rsidRPr="0072369C">
              <w:rPr>
                <w:rFonts w:ascii="Arial" w:hAnsi="Arial" w:cs="Arial"/>
              </w:rPr>
              <w:t>20</w:t>
            </w:r>
            <w:r w:rsidR="00E64EEF" w:rsidRPr="0072369C">
              <w:rPr>
                <w:rFonts w:ascii="Arial" w:hAnsi="Arial" w:cs="Arial"/>
              </w:rPr>
              <w:t>20</w:t>
            </w:r>
            <w:r w:rsidRPr="0072369C">
              <w:rPr>
                <w:rFonts w:ascii="Arial" w:hAnsi="Arial" w:cs="Arial"/>
              </w:rPr>
              <w:t>.</w:t>
            </w:r>
          </w:p>
          <w:p w:rsidR="0072369C" w:rsidRPr="0072369C" w:rsidRDefault="0072369C" w:rsidP="0072369C">
            <w:pPr>
              <w:widowControl w:val="0"/>
              <w:spacing w:after="240"/>
              <w:outlineLvl w:val="0"/>
              <w:rPr>
                <w:rFonts w:ascii="Arial" w:hAnsi="Arial" w:cs="Arial"/>
              </w:rPr>
            </w:pPr>
            <w:r w:rsidRPr="0072369C">
              <w:rPr>
                <w:rFonts w:ascii="Arial" w:hAnsi="Arial" w:cs="Arial"/>
              </w:rPr>
              <w:t>CPT</w:t>
            </w:r>
            <w:r w:rsidR="00036609" w:rsidRPr="0072369C">
              <w:rPr>
                <w:rFonts w:ascii="Arial" w:hAnsi="Arial" w:cs="Arial"/>
              </w:rPr>
              <w:t>®</w:t>
            </w:r>
            <w:r w:rsidRPr="0072369C">
              <w:rPr>
                <w:rFonts w:ascii="Arial" w:hAnsi="Arial" w:cs="Arial"/>
              </w:rPr>
              <w:t xml:space="preserve"> can be purchased through the </w:t>
            </w:r>
            <w:hyperlink r:id="rId11" w:history="1">
              <w:r w:rsidRPr="0072369C">
                <w:rPr>
                  <w:rStyle w:val="Hyperlink"/>
                  <w:rFonts w:cs="Arial"/>
                </w:rPr>
                <w:t>American Medical Association online store</w:t>
              </w:r>
            </w:hyperlink>
            <w:r>
              <w:rPr>
                <w:rFonts w:ascii="Arial" w:hAnsi="Arial" w:cs="Arial"/>
              </w:rPr>
              <w:t>.</w:t>
            </w:r>
            <w:r w:rsidRPr="0072369C">
              <w:rPr>
                <w:rFonts w:ascii="Arial" w:hAnsi="Arial" w:cs="Arial"/>
              </w:rPr>
              <w:t xml:space="preserve"> </w:t>
            </w:r>
          </w:p>
        </w:tc>
      </w:tr>
      <w:tr w:rsidR="00D77344" w:rsidRPr="00573F80" w:rsidTr="00C21741">
        <w:trPr>
          <w:cantSplit/>
          <w:tblHeader/>
        </w:trPr>
        <w:tc>
          <w:tcPr>
            <w:tcW w:w="3063" w:type="dxa"/>
          </w:tcPr>
          <w:p w:rsidR="00D77344" w:rsidRPr="00573F80" w:rsidRDefault="00D77344" w:rsidP="006B75AB">
            <w:pPr>
              <w:widowControl w:val="0"/>
              <w:ind w:right="33"/>
              <w:outlineLvl w:val="0"/>
              <w:rPr>
                <w:rFonts w:ascii="Arial" w:hAnsi="Arial" w:cs="Arial"/>
              </w:rPr>
            </w:pPr>
            <w:r w:rsidRPr="00573F80">
              <w:rPr>
                <w:rFonts w:ascii="Arial" w:hAnsi="Arial" w:cs="Arial"/>
              </w:rPr>
              <w:t>Current Procedural Terminology</w:t>
            </w:r>
          </w:p>
          <w:p w:rsidR="00D77344" w:rsidRPr="00573F80" w:rsidRDefault="00D77344" w:rsidP="006B75AB">
            <w:pPr>
              <w:widowControl w:val="0"/>
              <w:ind w:right="33"/>
              <w:outlineLvl w:val="0"/>
              <w:rPr>
                <w:rFonts w:ascii="Arial" w:hAnsi="Arial" w:cs="Arial"/>
              </w:rPr>
            </w:pPr>
            <w:r w:rsidRPr="00573F80">
              <w:rPr>
                <w:rFonts w:ascii="Arial" w:hAnsi="Arial" w:cs="Arial"/>
              </w:rPr>
              <w:t>CPT codes that shall not be used</w:t>
            </w:r>
          </w:p>
          <w:p w:rsidR="009D02C8" w:rsidRPr="00573F80" w:rsidRDefault="009D02C8" w:rsidP="006B75AB">
            <w:pPr>
              <w:widowControl w:val="0"/>
              <w:ind w:right="33"/>
              <w:outlineLvl w:val="0"/>
              <w:rPr>
                <w:rFonts w:ascii="Arial" w:hAnsi="Arial" w:cs="Arial"/>
              </w:rPr>
            </w:pPr>
          </w:p>
        </w:tc>
        <w:tc>
          <w:tcPr>
            <w:tcW w:w="5433" w:type="dxa"/>
          </w:tcPr>
          <w:p w:rsidR="00FE5F6F" w:rsidRDefault="004812B3" w:rsidP="00F276D4">
            <w:pPr>
              <w:widowControl w:val="0"/>
              <w:outlineLvl w:val="0"/>
              <w:rPr>
                <w:rFonts w:ascii="Arial" w:hAnsi="Arial" w:cs="Arial"/>
              </w:rPr>
            </w:pPr>
            <w:r w:rsidRPr="00573F80">
              <w:rPr>
                <w:rFonts w:ascii="Arial" w:hAnsi="Arial" w:cs="Arial"/>
              </w:rPr>
              <w:t>Unchanged</w:t>
            </w:r>
            <w:r w:rsidR="00383008">
              <w:rPr>
                <w:rFonts w:ascii="Arial" w:hAnsi="Arial" w:cs="Arial"/>
              </w:rPr>
              <w:t>, except for deletion of “97127 (Use G0515)</w:t>
            </w:r>
            <w:r w:rsidR="00F276D4">
              <w:rPr>
                <w:rFonts w:ascii="Arial" w:hAnsi="Arial" w:cs="Arial"/>
              </w:rPr>
              <w:t>.</w:t>
            </w:r>
            <w:r w:rsidR="00383008">
              <w:rPr>
                <w:rFonts w:ascii="Arial" w:hAnsi="Arial" w:cs="Arial"/>
              </w:rPr>
              <w:t>”</w:t>
            </w:r>
            <w:r w:rsidR="00F276D4">
              <w:rPr>
                <w:rFonts w:ascii="Arial" w:hAnsi="Arial" w:cs="Arial"/>
              </w:rPr>
              <w:t xml:space="preserve"> The deletion is due to the fact that </w:t>
            </w:r>
            <w:r w:rsidR="00967281">
              <w:rPr>
                <w:rFonts w:ascii="Arial" w:hAnsi="Arial" w:cs="Arial"/>
              </w:rPr>
              <w:t xml:space="preserve">CPT 97127 and </w:t>
            </w:r>
            <w:r w:rsidR="00F276D4">
              <w:rPr>
                <w:rFonts w:ascii="Arial" w:hAnsi="Arial" w:cs="Arial"/>
              </w:rPr>
              <w:t xml:space="preserve">HCPCS Code </w:t>
            </w:r>
            <w:r w:rsidR="00F276D4" w:rsidRPr="00F276D4">
              <w:rPr>
                <w:rFonts w:ascii="Arial" w:hAnsi="Arial" w:cs="Arial"/>
              </w:rPr>
              <w:t xml:space="preserve">G0515 </w:t>
            </w:r>
            <w:r w:rsidR="00F276D4">
              <w:rPr>
                <w:rFonts w:ascii="Arial" w:hAnsi="Arial" w:cs="Arial"/>
              </w:rPr>
              <w:t>ha</w:t>
            </w:r>
            <w:r w:rsidR="00967281">
              <w:rPr>
                <w:rFonts w:ascii="Arial" w:hAnsi="Arial" w:cs="Arial"/>
              </w:rPr>
              <w:t>ve</w:t>
            </w:r>
            <w:r w:rsidR="00F276D4">
              <w:rPr>
                <w:rFonts w:ascii="Arial" w:hAnsi="Arial" w:cs="Arial"/>
              </w:rPr>
              <w:t xml:space="preserve"> been </w:t>
            </w:r>
            <w:r w:rsidR="00F276D4" w:rsidRPr="00F276D4">
              <w:rPr>
                <w:rFonts w:ascii="Arial" w:hAnsi="Arial" w:cs="Arial"/>
              </w:rPr>
              <w:t xml:space="preserve">deleted, </w:t>
            </w:r>
            <w:r w:rsidR="00967281">
              <w:rPr>
                <w:rFonts w:ascii="Arial" w:hAnsi="Arial" w:cs="Arial"/>
              </w:rPr>
              <w:t>and are</w:t>
            </w:r>
            <w:r w:rsidR="00F276D4">
              <w:rPr>
                <w:rFonts w:ascii="Arial" w:hAnsi="Arial" w:cs="Arial"/>
              </w:rPr>
              <w:t xml:space="preserve"> </w:t>
            </w:r>
            <w:r w:rsidR="00F276D4" w:rsidRPr="00F276D4">
              <w:rPr>
                <w:rFonts w:ascii="Arial" w:hAnsi="Arial" w:cs="Arial"/>
              </w:rPr>
              <w:t>replaced by CPT codes CPT 97129 and CPT 97130</w:t>
            </w:r>
            <w:r w:rsidR="00F276D4">
              <w:rPr>
                <w:rFonts w:ascii="Arial" w:hAnsi="Arial" w:cs="Arial"/>
              </w:rPr>
              <w:t>. See the Medicare Physician Fee Schedule final rule,</w:t>
            </w:r>
            <w:r w:rsidR="00F276D4" w:rsidRPr="00F276D4">
              <w:rPr>
                <w:rFonts w:ascii="Arial" w:hAnsi="Arial" w:cs="Arial"/>
              </w:rPr>
              <w:t xml:space="preserve"> CMS-1715-F</w:t>
            </w:r>
            <w:r w:rsidR="00F276D4">
              <w:rPr>
                <w:rFonts w:ascii="Arial" w:hAnsi="Arial" w:cs="Arial"/>
              </w:rPr>
              <w:t>,</w:t>
            </w:r>
            <w:r w:rsidR="00F276D4" w:rsidRPr="00F276D4">
              <w:rPr>
                <w:rFonts w:ascii="Arial" w:hAnsi="Arial" w:cs="Arial"/>
              </w:rPr>
              <w:t xml:space="preserve"> </w:t>
            </w:r>
            <w:r w:rsidR="00F276D4">
              <w:rPr>
                <w:rFonts w:ascii="Arial" w:hAnsi="Arial" w:cs="Arial"/>
              </w:rPr>
              <w:t xml:space="preserve">84 </w:t>
            </w:r>
            <w:r w:rsidR="00F276D4" w:rsidRPr="00F276D4">
              <w:rPr>
                <w:rFonts w:ascii="Arial" w:hAnsi="Arial" w:cs="Arial"/>
              </w:rPr>
              <w:t>Federal Register</w:t>
            </w:r>
            <w:r w:rsidR="00F276D4">
              <w:rPr>
                <w:rFonts w:ascii="Arial" w:hAnsi="Arial" w:cs="Arial"/>
              </w:rPr>
              <w:t>,</w:t>
            </w:r>
            <w:r w:rsidR="00F276D4" w:rsidRPr="00F276D4">
              <w:rPr>
                <w:rFonts w:ascii="Arial" w:hAnsi="Arial" w:cs="Arial"/>
              </w:rPr>
              <w:t xml:space="preserve"> page</w:t>
            </w:r>
            <w:r w:rsidR="00F276D4">
              <w:rPr>
                <w:rFonts w:ascii="Arial" w:hAnsi="Arial" w:cs="Arial"/>
              </w:rPr>
              <w:t>s</w:t>
            </w:r>
            <w:r w:rsidR="00F276D4" w:rsidRPr="00F276D4">
              <w:rPr>
                <w:rFonts w:ascii="Arial" w:hAnsi="Arial" w:cs="Arial"/>
              </w:rPr>
              <w:t xml:space="preserve"> 62792-62793</w:t>
            </w:r>
            <w:r w:rsidR="00F276D4">
              <w:rPr>
                <w:rFonts w:ascii="Arial" w:hAnsi="Arial" w:cs="Arial"/>
              </w:rPr>
              <w:t>.</w:t>
            </w:r>
          </w:p>
          <w:p w:rsidR="00F276D4" w:rsidRPr="00573F80" w:rsidRDefault="00F276D4" w:rsidP="00F276D4">
            <w:pPr>
              <w:widowControl w:val="0"/>
              <w:outlineLvl w:val="0"/>
              <w:rPr>
                <w:rFonts w:ascii="Arial" w:hAnsi="Arial" w:cs="Arial"/>
              </w:rPr>
            </w:pPr>
          </w:p>
        </w:tc>
      </w:tr>
      <w:tr w:rsidR="00D77344" w:rsidRPr="00573F80" w:rsidTr="00C21741">
        <w:trPr>
          <w:cantSplit/>
          <w:tblHeader/>
        </w:trPr>
        <w:tc>
          <w:tcPr>
            <w:tcW w:w="3063" w:type="dxa"/>
          </w:tcPr>
          <w:p w:rsidR="00D77344" w:rsidRPr="00573F80" w:rsidRDefault="00D77344" w:rsidP="006B75AB">
            <w:pPr>
              <w:widowControl w:val="0"/>
              <w:ind w:right="33"/>
              <w:outlineLvl w:val="0"/>
              <w:rPr>
                <w:rFonts w:ascii="Arial" w:hAnsi="Arial" w:cs="Arial"/>
              </w:rPr>
            </w:pPr>
            <w:r w:rsidRPr="00573F80">
              <w:rPr>
                <w:rFonts w:ascii="Arial" w:hAnsi="Arial" w:cs="Arial"/>
              </w:rPr>
              <w:lastRenderedPageBreak/>
              <w:t>Diagnostic Cardiovascular Procedure CPT codes subject to the MPPR</w:t>
            </w:r>
          </w:p>
          <w:p w:rsidR="00D77344" w:rsidRPr="00573F80" w:rsidRDefault="00D77344" w:rsidP="006B75AB">
            <w:pPr>
              <w:widowControl w:val="0"/>
              <w:ind w:right="33"/>
              <w:outlineLvl w:val="0"/>
              <w:rPr>
                <w:rFonts w:ascii="Arial" w:hAnsi="Arial" w:cs="Arial"/>
              </w:rPr>
            </w:pPr>
          </w:p>
        </w:tc>
        <w:tc>
          <w:tcPr>
            <w:tcW w:w="5433" w:type="dxa"/>
          </w:tcPr>
          <w:p w:rsidR="00D77344" w:rsidRPr="00573F80" w:rsidRDefault="00350799" w:rsidP="00BF1833">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BF1833">
              <w:rPr>
                <w:rFonts w:ascii="Arial" w:hAnsi="Arial" w:cs="Arial"/>
              </w:rPr>
              <w:t>20</w:t>
            </w:r>
            <w:r w:rsidR="007F2457" w:rsidRPr="00573F80">
              <w:rPr>
                <w:rFonts w:ascii="Arial" w:hAnsi="Arial" w:cs="Arial"/>
              </w:rPr>
              <w:t>.</w:t>
            </w:r>
          </w:p>
        </w:tc>
      </w:tr>
      <w:tr w:rsidR="00D77344" w:rsidRPr="00573F80" w:rsidTr="00C21741">
        <w:trPr>
          <w:cantSplit/>
          <w:tblHeader/>
        </w:trPr>
        <w:tc>
          <w:tcPr>
            <w:tcW w:w="3063" w:type="dxa"/>
          </w:tcPr>
          <w:p w:rsidR="00D77344" w:rsidRPr="00B8144F" w:rsidRDefault="00D77344" w:rsidP="006B75AB">
            <w:pPr>
              <w:widowControl w:val="0"/>
              <w:ind w:right="33"/>
              <w:outlineLvl w:val="0"/>
              <w:rPr>
                <w:rFonts w:ascii="Arial" w:hAnsi="Arial" w:cs="Arial"/>
              </w:rPr>
            </w:pPr>
            <w:r w:rsidRPr="00B8144F">
              <w:rPr>
                <w:rFonts w:ascii="Arial" w:hAnsi="Arial" w:cs="Arial"/>
              </w:rPr>
              <w:t>Diagnostic Imaging Family Indicator Description</w:t>
            </w:r>
          </w:p>
          <w:p w:rsidR="00D77344" w:rsidRPr="00B8144F" w:rsidRDefault="00D77344" w:rsidP="006B75AB">
            <w:pPr>
              <w:widowControl w:val="0"/>
              <w:ind w:right="33"/>
              <w:outlineLvl w:val="0"/>
              <w:rPr>
                <w:rFonts w:ascii="Arial" w:hAnsi="Arial" w:cs="Arial"/>
              </w:rPr>
            </w:pPr>
          </w:p>
        </w:tc>
        <w:tc>
          <w:tcPr>
            <w:tcW w:w="5433" w:type="dxa"/>
          </w:tcPr>
          <w:p w:rsidR="00D77344" w:rsidRPr="00B8144F" w:rsidRDefault="00350799" w:rsidP="006B75AB">
            <w:pPr>
              <w:widowControl w:val="0"/>
              <w:outlineLvl w:val="0"/>
              <w:rPr>
                <w:rFonts w:ascii="Arial" w:hAnsi="Arial" w:cs="Arial"/>
              </w:rPr>
            </w:pPr>
            <w:r w:rsidRPr="00B8144F">
              <w:rPr>
                <w:rFonts w:ascii="Arial" w:hAnsi="Arial" w:cs="Arial"/>
              </w:rPr>
              <w:t>Unchanged</w:t>
            </w:r>
            <w:r w:rsidR="007F2457" w:rsidRPr="00B8144F">
              <w:rPr>
                <w:rFonts w:ascii="Arial" w:hAnsi="Arial" w:cs="Arial"/>
              </w:rPr>
              <w:t>.</w:t>
            </w:r>
          </w:p>
        </w:tc>
      </w:tr>
      <w:tr w:rsidR="00D77344" w:rsidRPr="00573F80" w:rsidTr="00C21741">
        <w:trPr>
          <w:cantSplit/>
          <w:tblHeader/>
        </w:trPr>
        <w:tc>
          <w:tcPr>
            <w:tcW w:w="3063" w:type="dxa"/>
          </w:tcPr>
          <w:p w:rsidR="00D77344" w:rsidRPr="00B8144F" w:rsidRDefault="00D77344" w:rsidP="006B75AB">
            <w:pPr>
              <w:widowControl w:val="0"/>
              <w:ind w:right="33"/>
              <w:outlineLvl w:val="0"/>
              <w:rPr>
                <w:rFonts w:ascii="Arial" w:hAnsi="Arial" w:cs="Arial"/>
              </w:rPr>
            </w:pPr>
            <w:r w:rsidRPr="00B8144F">
              <w:rPr>
                <w:rFonts w:ascii="Arial" w:hAnsi="Arial" w:cs="Arial"/>
              </w:rPr>
              <w:t>Diagnostic Imaging Family Procedures Subject to the MPPR</w:t>
            </w:r>
          </w:p>
          <w:p w:rsidR="00D77344" w:rsidRPr="00B8144F" w:rsidRDefault="00D77344" w:rsidP="006B75AB">
            <w:pPr>
              <w:widowControl w:val="0"/>
              <w:ind w:right="33"/>
              <w:outlineLvl w:val="0"/>
              <w:rPr>
                <w:rFonts w:ascii="Arial" w:hAnsi="Arial" w:cs="Arial"/>
              </w:rPr>
            </w:pPr>
          </w:p>
        </w:tc>
        <w:tc>
          <w:tcPr>
            <w:tcW w:w="5433" w:type="dxa"/>
          </w:tcPr>
          <w:p w:rsidR="00D77344" w:rsidRPr="00B8144F" w:rsidRDefault="007F2457" w:rsidP="00BF1833">
            <w:pPr>
              <w:widowControl w:val="0"/>
              <w:outlineLvl w:val="0"/>
              <w:rPr>
                <w:rFonts w:ascii="Arial" w:hAnsi="Arial" w:cs="Arial"/>
              </w:rPr>
            </w:pPr>
            <w:r w:rsidRPr="00B8144F">
              <w:rPr>
                <w:rFonts w:ascii="Arial" w:hAnsi="Arial" w:cs="Arial"/>
              </w:rPr>
              <w:t xml:space="preserve">Updated to </w:t>
            </w:r>
            <w:r w:rsidR="00FE5271" w:rsidRPr="00B8144F">
              <w:rPr>
                <w:rFonts w:ascii="Arial" w:hAnsi="Arial" w:cs="Arial"/>
              </w:rPr>
              <w:t>20</w:t>
            </w:r>
            <w:r w:rsidR="00BF1833" w:rsidRPr="00B8144F">
              <w:rPr>
                <w:rFonts w:ascii="Arial" w:hAnsi="Arial" w:cs="Arial"/>
              </w:rPr>
              <w:t>20</w:t>
            </w:r>
            <w:r w:rsidRPr="00B8144F">
              <w:rPr>
                <w:rFonts w:ascii="Arial" w:hAnsi="Arial" w:cs="Arial"/>
              </w:rPr>
              <w:t>.</w:t>
            </w:r>
          </w:p>
        </w:tc>
      </w:tr>
      <w:tr w:rsidR="00D77344" w:rsidRPr="00573F80" w:rsidTr="00C21741">
        <w:trPr>
          <w:cantSplit/>
          <w:tblHeader/>
        </w:trPr>
        <w:tc>
          <w:tcPr>
            <w:tcW w:w="3063" w:type="dxa"/>
          </w:tcPr>
          <w:p w:rsidR="00D77344" w:rsidRPr="00B8144F" w:rsidRDefault="00D77344" w:rsidP="006B75AB">
            <w:pPr>
              <w:widowControl w:val="0"/>
              <w:ind w:right="33"/>
              <w:outlineLvl w:val="0"/>
              <w:rPr>
                <w:rFonts w:ascii="Arial" w:hAnsi="Arial" w:cs="Arial"/>
              </w:rPr>
            </w:pPr>
            <w:r w:rsidRPr="00B8144F">
              <w:rPr>
                <w:rFonts w:ascii="Arial" w:hAnsi="Arial" w:cs="Arial"/>
              </w:rPr>
              <w:t>Diagnostic Imaging Multiple Procedures Subject to the MPPR</w:t>
            </w:r>
          </w:p>
          <w:p w:rsidR="00D77344" w:rsidRPr="00B8144F" w:rsidRDefault="00D77344" w:rsidP="006B75AB">
            <w:pPr>
              <w:widowControl w:val="0"/>
              <w:ind w:right="33"/>
              <w:outlineLvl w:val="0"/>
              <w:rPr>
                <w:rFonts w:ascii="Arial" w:hAnsi="Arial" w:cs="Arial"/>
              </w:rPr>
            </w:pPr>
          </w:p>
        </w:tc>
        <w:tc>
          <w:tcPr>
            <w:tcW w:w="5433" w:type="dxa"/>
          </w:tcPr>
          <w:p w:rsidR="00D77344" w:rsidRPr="00B8144F" w:rsidRDefault="007F2457" w:rsidP="00BF1833">
            <w:pPr>
              <w:widowControl w:val="0"/>
              <w:outlineLvl w:val="0"/>
              <w:rPr>
                <w:rFonts w:ascii="Arial" w:hAnsi="Arial" w:cs="Arial"/>
              </w:rPr>
            </w:pPr>
            <w:r w:rsidRPr="00B8144F">
              <w:rPr>
                <w:rFonts w:ascii="Arial" w:hAnsi="Arial" w:cs="Arial"/>
              </w:rPr>
              <w:t xml:space="preserve">Updated to </w:t>
            </w:r>
            <w:r w:rsidR="00FE5271" w:rsidRPr="00B8144F">
              <w:rPr>
                <w:rFonts w:ascii="Arial" w:hAnsi="Arial" w:cs="Arial"/>
              </w:rPr>
              <w:t>20</w:t>
            </w:r>
            <w:r w:rsidR="00BF1833" w:rsidRPr="00B8144F">
              <w:rPr>
                <w:rFonts w:ascii="Arial" w:hAnsi="Arial" w:cs="Arial"/>
              </w:rPr>
              <w:t>20</w:t>
            </w:r>
            <w:r w:rsidRPr="00B8144F">
              <w:rPr>
                <w:rFonts w:ascii="Arial" w:hAnsi="Arial" w:cs="Arial"/>
              </w:rPr>
              <w:t>.</w:t>
            </w:r>
          </w:p>
        </w:tc>
      </w:tr>
      <w:tr w:rsidR="007F2457" w:rsidRPr="00573F80" w:rsidTr="00C21741">
        <w:trPr>
          <w:cantSplit/>
          <w:tblHeader/>
        </w:trPr>
        <w:tc>
          <w:tcPr>
            <w:tcW w:w="3063" w:type="dxa"/>
          </w:tcPr>
          <w:p w:rsidR="007F2457" w:rsidRPr="00573F80" w:rsidRDefault="007F2457" w:rsidP="006B75AB">
            <w:pPr>
              <w:widowControl w:val="0"/>
              <w:ind w:right="33"/>
              <w:outlineLvl w:val="0"/>
              <w:rPr>
                <w:rFonts w:ascii="Arial" w:hAnsi="Arial" w:cs="Arial"/>
              </w:rPr>
            </w:pPr>
            <w:r w:rsidRPr="00573F80">
              <w:rPr>
                <w:rFonts w:ascii="Arial" w:hAnsi="Arial" w:cs="Arial"/>
              </w:rPr>
              <w:t>DWC Pharmaceutical Fee Schedule</w:t>
            </w:r>
          </w:p>
          <w:p w:rsidR="007F2457" w:rsidRPr="00573F80" w:rsidRDefault="007F2457" w:rsidP="006B75AB">
            <w:pPr>
              <w:widowControl w:val="0"/>
              <w:ind w:right="33"/>
              <w:outlineLvl w:val="0"/>
              <w:rPr>
                <w:rFonts w:ascii="Arial" w:hAnsi="Arial" w:cs="Arial"/>
              </w:rPr>
            </w:pPr>
          </w:p>
        </w:tc>
        <w:tc>
          <w:tcPr>
            <w:tcW w:w="5433" w:type="dxa"/>
          </w:tcPr>
          <w:p w:rsidR="007F2457" w:rsidRPr="00573F80" w:rsidRDefault="007F2457" w:rsidP="004D227C">
            <w:pPr>
              <w:widowControl w:val="0"/>
              <w:spacing w:after="120"/>
              <w:outlineLvl w:val="0"/>
              <w:rPr>
                <w:rFonts w:ascii="Arial" w:hAnsi="Arial" w:cs="Arial"/>
              </w:rPr>
            </w:pPr>
            <w:r w:rsidRPr="00573F80">
              <w:rPr>
                <w:rFonts w:ascii="Arial" w:hAnsi="Arial" w:cs="Arial"/>
              </w:rPr>
              <w:t>Sets forth reference to DWC pharmaceutical fee schedule web page, which is unchanged from 201</w:t>
            </w:r>
            <w:r w:rsidR="00BF1833">
              <w:rPr>
                <w:rFonts w:ascii="Arial" w:hAnsi="Arial" w:cs="Arial"/>
              </w:rPr>
              <w:t>9</w:t>
            </w:r>
            <w:r w:rsidRPr="00573F80">
              <w:rPr>
                <w:rFonts w:ascii="Arial" w:hAnsi="Arial" w:cs="Arial"/>
              </w:rPr>
              <w:t>.</w:t>
            </w:r>
          </w:p>
        </w:tc>
      </w:tr>
      <w:tr w:rsidR="00A933AC" w:rsidRPr="00573F80" w:rsidTr="00C21741">
        <w:trPr>
          <w:cantSplit/>
          <w:tblHeader/>
        </w:trPr>
        <w:tc>
          <w:tcPr>
            <w:tcW w:w="3063" w:type="dxa"/>
          </w:tcPr>
          <w:p w:rsidR="00A933AC" w:rsidRPr="002640F0" w:rsidRDefault="00A933AC" w:rsidP="006B75AB">
            <w:pPr>
              <w:widowControl w:val="0"/>
              <w:ind w:right="33"/>
              <w:outlineLvl w:val="0"/>
              <w:rPr>
                <w:rFonts w:ascii="Arial" w:hAnsi="Arial" w:cs="Arial"/>
              </w:rPr>
            </w:pPr>
            <w:r w:rsidRPr="002640F0">
              <w:rPr>
                <w:rFonts w:ascii="Arial" w:hAnsi="Arial" w:cs="Arial"/>
              </w:rPr>
              <w:t>Geographic Practice Cost Index (GPCI) by locality (Other than anesthesia services)</w:t>
            </w:r>
          </w:p>
        </w:tc>
        <w:tc>
          <w:tcPr>
            <w:tcW w:w="5433" w:type="dxa"/>
          </w:tcPr>
          <w:p w:rsidR="008D6945" w:rsidRPr="002640F0" w:rsidRDefault="008D6945" w:rsidP="006B75AB">
            <w:pPr>
              <w:widowControl w:val="0"/>
              <w:outlineLvl w:val="0"/>
              <w:rPr>
                <w:rFonts w:ascii="Arial" w:hAnsi="Arial" w:cs="Arial"/>
              </w:rPr>
            </w:pPr>
            <w:r w:rsidRPr="002640F0">
              <w:rPr>
                <w:rFonts w:ascii="Arial" w:hAnsi="Arial" w:cs="Arial"/>
              </w:rPr>
              <w:t xml:space="preserve">Adopted and incorporated by reference </w:t>
            </w:r>
            <w:r w:rsidR="00B8144F" w:rsidRPr="002640F0">
              <w:rPr>
                <w:rFonts w:ascii="Arial" w:hAnsi="Arial" w:cs="Arial"/>
              </w:rPr>
              <w:t>specified</w:t>
            </w:r>
            <w:r w:rsidRPr="002640F0">
              <w:rPr>
                <w:rFonts w:ascii="Arial" w:hAnsi="Arial" w:cs="Arial"/>
              </w:rPr>
              <w:t xml:space="preserve"> columns of files from</w:t>
            </w:r>
            <w:r w:rsidR="00D73816" w:rsidRPr="002640F0">
              <w:rPr>
                <w:rFonts w:ascii="Arial" w:hAnsi="Arial" w:cs="Arial"/>
              </w:rPr>
              <w:t xml:space="preserve"> the 2020</w:t>
            </w:r>
            <w:r w:rsidRPr="002640F0">
              <w:rPr>
                <w:rFonts w:ascii="Arial" w:hAnsi="Arial" w:cs="Arial"/>
              </w:rPr>
              <w:t xml:space="preserve"> CMS’ Medicare National Physician Fee S</w:t>
            </w:r>
            <w:r w:rsidR="00371D97" w:rsidRPr="002640F0">
              <w:rPr>
                <w:rFonts w:ascii="Arial" w:hAnsi="Arial" w:cs="Arial"/>
              </w:rPr>
              <w:t>chedule Relative Value File RVU20</w:t>
            </w:r>
            <w:r w:rsidRPr="002640F0">
              <w:rPr>
                <w:rFonts w:ascii="Arial" w:hAnsi="Arial" w:cs="Arial"/>
              </w:rPr>
              <w:t xml:space="preserve">A: </w:t>
            </w:r>
          </w:p>
          <w:p w:rsidR="00D73816" w:rsidRPr="002640F0" w:rsidRDefault="008D6945" w:rsidP="008D6945">
            <w:pPr>
              <w:widowControl w:val="0"/>
              <w:numPr>
                <w:ilvl w:val="0"/>
                <w:numId w:val="41"/>
              </w:numPr>
              <w:ind w:left="727" w:hanging="270"/>
              <w:outlineLvl w:val="0"/>
              <w:rPr>
                <w:rFonts w:ascii="Arial" w:hAnsi="Arial" w:cs="Arial"/>
              </w:rPr>
            </w:pPr>
            <w:r w:rsidRPr="002640F0">
              <w:rPr>
                <w:rFonts w:ascii="Arial" w:hAnsi="Arial" w:cs="Arial"/>
              </w:rPr>
              <w:t>GPCI20</w:t>
            </w:r>
            <w:r w:rsidR="00371D97" w:rsidRPr="002640F0">
              <w:rPr>
                <w:rFonts w:ascii="Arial" w:hAnsi="Arial" w:cs="Arial"/>
              </w:rPr>
              <w:t>20</w:t>
            </w:r>
            <w:r w:rsidRPr="002640F0">
              <w:rPr>
                <w:rFonts w:ascii="Arial" w:hAnsi="Arial" w:cs="Arial"/>
              </w:rPr>
              <w:t xml:space="preserve"> (Column B (“Locality Number”), column C (“Locality Name”), column D (“20</w:t>
            </w:r>
            <w:r w:rsidR="00371D97" w:rsidRPr="002640F0">
              <w:rPr>
                <w:rFonts w:ascii="Arial" w:hAnsi="Arial" w:cs="Arial"/>
              </w:rPr>
              <w:t>20</w:t>
            </w:r>
            <w:r w:rsidRPr="002640F0">
              <w:rPr>
                <w:rFonts w:ascii="Arial" w:hAnsi="Arial" w:cs="Arial"/>
              </w:rPr>
              <w:t xml:space="preserve"> PW GPCI”), column E (“</w:t>
            </w:r>
            <w:r w:rsidR="00371D97" w:rsidRPr="002640F0">
              <w:rPr>
                <w:rFonts w:ascii="Arial" w:hAnsi="Arial" w:cs="Arial"/>
              </w:rPr>
              <w:t xml:space="preserve">2020 </w:t>
            </w:r>
            <w:r w:rsidRPr="002640F0">
              <w:rPr>
                <w:rFonts w:ascii="Arial" w:hAnsi="Arial" w:cs="Arial"/>
              </w:rPr>
              <w:t>PE GPCI”), and column F (“</w:t>
            </w:r>
            <w:r w:rsidR="00371D97" w:rsidRPr="002640F0">
              <w:rPr>
                <w:rFonts w:ascii="Arial" w:hAnsi="Arial" w:cs="Arial"/>
              </w:rPr>
              <w:t xml:space="preserve">2020 </w:t>
            </w:r>
            <w:r w:rsidRPr="002640F0">
              <w:rPr>
                <w:rFonts w:ascii="Arial" w:hAnsi="Arial" w:cs="Arial"/>
              </w:rPr>
              <w:t>MP GPCI”) for the State of California (“CA”))</w:t>
            </w:r>
          </w:p>
          <w:p w:rsidR="00A933AC" w:rsidRPr="002640F0" w:rsidRDefault="00D73816" w:rsidP="00D73816">
            <w:pPr>
              <w:widowControl w:val="0"/>
              <w:ind w:left="727"/>
              <w:outlineLvl w:val="0"/>
              <w:rPr>
                <w:rFonts w:ascii="Arial" w:hAnsi="Arial" w:cs="Arial"/>
              </w:rPr>
            </w:pPr>
            <w:r w:rsidRPr="002640F0">
              <w:rPr>
                <w:rFonts w:ascii="Arial" w:hAnsi="Arial" w:cs="Arial"/>
              </w:rPr>
              <w:t>[Based on</w:t>
            </w:r>
            <w:r w:rsidR="00371D97" w:rsidRPr="002640F0">
              <w:rPr>
                <w:rFonts w:ascii="Arial" w:hAnsi="Arial" w:cs="Arial"/>
              </w:rPr>
              <w:t xml:space="preserve"> </w:t>
            </w:r>
            <w:hyperlink r:id="rId12" w:history="1">
              <w:r w:rsidR="00371D97" w:rsidRPr="002640F0">
                <w:rPr>
                  <w:rStyle w:val="Hyperlink"/>
                  <w:rFonts w:cs="Arial"/>
                </w:rPr>
                <w:t xml:space="preserve">Addendum E </w:t>
              </w:r>
              <w:r w:rsidRPr="002640F0">
                <w:rPr>
                  <w:rStyle w:val="Hyperlink"/>
                  <w:rFonts w:cs="Arial"/>
                </w:rPr>
                <w:t>to CY 2020 Medicare Physician Fee Schedule Final Rule, CMS-1715-F</w:t>
              </w:r>
            </w:hyperlink>
            <w:r w:rsidRPr="002640F0">
              <w:rPr>
                <w:rFonts w:ascii="Arial" w:hAnsi="Arial" w:cs="Arial"/>
              </w:rPr>
              <w:t>]</w:t>
            </w:r>
          </w:p>
          <w:p w:rsidR="008D6945" w:rsidRPr="002640F0" w:rsidRDefault="008D6945" w:rsidP="008D6945">
            <w:pPr>
              <w:widowControl w:val="0"/>
              <w:ind w:left="367" w:hanging="7"/>
              <w:outlineLvl w:val="0"/>
              <w:rPr>
                <w:rFonts w:ascii="Arial" w:hAnsi="Arial" w:cs="Arial"/>
              </w:rPr>
            </w:pPr>
          </w:p>
          <w:p w:rsidR="008D6945" w:rsidRPr="002640F0" w:rsidRDefault="00371D97" w:rsidP="00BA6249">
            <w:pPr>
              <w:numPr>
                <w:ilvl w:val="0"/>
                <w:numId w:val="40"/>
              </w:numPr>
              <w:spacing w:after="100" w:afterAutospacing="1"/>
              <w:rPr>
                <w:rFonts w:ascii="Arial" w:hAnsi="Arial" w:cs="Arial"/>
              </w:rPr>
            </w:pPr>
            <w:r w:rsidRPr="002640F0">
              <w:rPr>
                <w:rFonts w:ascii="Arial" w:hAnsi="Arial" w:cs="Arial"/>
              </w:rPr>
              <w:t>20</w:t>
            </w:r>
            <w:r w:rsidR="008D6945" w:rsidRPr="002640F0">
              <w:rPr>
                <w:rFonts w:ascii="Arial" w:hAnsi="Arial" w:cs="Arial"/>
              </w:rPr>
              <w:t>LOCCO  – Column B (“Locality Number”), column C (“State”), column D (“Fee Schedule Area”), and column E (“Counties”) for the State of California (“CA”)</w:t>
            </w:r>
          </w:p>
        </w:tc>
      </w:tr>
      <w:tr w:rsidR="00A933AC" w:rsidRPr="00573F80" w:rsidTr="00C21741">
        <w:trPr>
          <w:cantSplit/>
          <w:tblHeader/>
        </w:trPr>
        <w:tc>
          <w:tcPr>
            <w:tcW w:w="3063" w:type="dxa"/>
          </w:tcPr>
          <w:p w:rsidR="00A933AC" w:rsidRPr="00F07216" w:rsidRDefault="00A933AC" w:rsidP="006B75AB">
            <w:pPr>
              <w:widowControl w:val="0"/>
              <w:ind w:right="33"/>
              <w:outlineLvl w:val="0"/>
              <w:rPr>
                <w:rFonts w:ascii="Arial" w:hAnsi="Arial" w:cs="Arial"/>
              </w:rPr>
            </w:pPr>
            <w:r w:rsidRPr="00F07216">
              <w:rPr>
                <w:rFonts w:ascii="Arial" w:hAnsi="Arial" w:cs="Arial"/>
              </w:rPr>
              <w:lastRenderedPageBreak/>
              <w:t>Geographic Practice Cost Index (GPCIs) by locality and anesthesia shares (Anesthesia)</w:t>
            </w:r>
          </w:p>
        </w:tc>
        <w:tc>
          <w:tcPr>
            <w:tcW w:w="5433" w:type="dxa"/>
          </w:tcPr>
          <w:p w:rsidR="00BD7371" w:rsidRPr="00F07216" w:rsidRDefault="00201D6A" w:rsidP="006B75AB">
            <w:pPr>
              <w:widowControl w:val="0"/>
              <w:outlineLvl w:val="0"/>
              <w:rPr>
                <w:rFonts w:ascii="Arial" w:hAnsi="Arial" w:cs="Arial"/>
              </w:rPr>
            </w:pPr>
            <w:r w:rsidRPr="00F07216">
              <w:rPr>
                <w:rFonts w:ascii="Arial" w:hAnsi="Arial" w:cs="Arial"/>
              </w:rPr>
              <w:t xml:space="preserve">The Medicare 2020 locality GPCIs and Medicare 2020 Anesthesia Shares are utilized to update the workers’ compensation Anesthesia Conversion Factor for 2020, as set forth on Table A, </w:t>
            </w:r>
            <w:r w:rsidR="00BD7371" w:rsidRPr="00F07216">
              <w:rPr>
                <w:rFonts w:ascii="Arial" w:hAnsi="Arial" w:cs="Arial"/>
              </w:rPr>
              <w:t xml:space="preserve">title </w:t>
            </w:r>
            <w:r w:rsidRPr="00F07216">
              <w:rPr>
                <w:rFonts w:ascii="Arial" w:hAnsi="Arial" w:cs="Arial"/>
              </w:rPr>
              <w:t>8 CCR</w:t>
            </w:r>
            <w:r w:rsidR="00BD7371" w:rsidRPr="00F07216">
              <w:rPr>
                <w:rFonts w:ascii="Arial" w:hAnsi="Arial" w:cs="Arial"/>
              </w:rPr>
              <w:t>,</w:t>
            </w:r>
            <w:r w:rsidRPr="00F07216">
              <w:rPr>
                <w:rFonts w:ascii="Arial" w:hAnsi="Arial" w:cs="Arial"/>
              </w:rPr>
              <w:t xml:space="preserve"> section 9789.19.1.</w:t>
            </w:r>
          </w:p>
          <w:p w:rsidR="00BD7371" w:rsidRPr="00F07216" w:rsidRDefault="00BD7371" w:rsidP="006B75AB">
            <w:pPr>
              <w:widowControl w:val="0"/>
              <w:outlineLvl w:val="0"/>
              <w:rPr>
                <w:rFonts w:ascii="Arial" w:hAnsi="Arial" w:cs="Arial"/>
              </w:rPr>
            </w:pPr>
          </w:p>
          <w:p w:rsidR="00BD7371" w:rsidRPr="00F07216" w:rsidRDefault="00BD7371" w:rsidP="00BD7371">
            <w:pPr>
              <w:rPr>
                <w:rFonts w:ascii="Arial" w:hAnsi="Arial" w:cs="Arial"/>
              </w:rPr>
            </w:pPr>
            <w:r w:rsidRPr="00F07216">
              <w:rPr>
                <w:rFonts w:ascii="Arial" w:hAnsi="Arial" w:cs="Arial"/>
              </w:rPr>
              <w:t>Medicare data utilized is as follows.</w:t>
            </w:r>
          </w:p>
          <w:p w:rsidR="00BD7371" w:rsidRPr="00F07216" w:rsidRDefault="00D2390A" w:rsidP="00BD7371">
            <w:pPr>
              <w:rPr>
                <w:rFonts w:ascii="Arial" w:hAnsi="Arial" w:cs="Arial"/>
              </w:rPr>
            </w:pPr>
            <w:hyperlink r:id="rId13" w:history="1">
              <w:r w:rsidR="00BD7371" w:rsidRPr="00F07216">
                <w:rPr>
                  <w:rStyle w:val="Hyperlink"/>
                  <w:rFonts w:cs="Arial"/>
                  <w:u w:val="none"/>
                </w:rPr>
                <w:t>2020 Anesthesia Conversion Factors [ZIP]</w:t>
              </w:r>
            </w:hyperlink>
            <w:r w:rsidR="00BD7371" w:rsidRPr="00F07216">
              <w:rPr>
                <w:rFonts w:ascii="Arial" w:hAnsi="Arial" w:cs="Arial"/>
              </w:rPr>
              <w:t xml:space="preserve"> </w:t>
            </w:r>
          </w:p>
          <w:p w:rsidR="00BD7371" w:rsidRPr="00F07216" w:rsidRDefault="00BD7371" w:rsidP="00BD7371">
            <w:pPr>
              <w:numPr>
                <w:ilvl w:val="0"/>
                <w:numId w:val="42"/>
              </w:numPr>
              <w:rPr>
                <w:rFonts w:ascii="Arial" w:hAnsi="Arial" w:cs="Arial"/>
              </w:rPr>
            </w:pPr>
            <w:r w:rsidRPr="00F07216">
              <w:rPr>
                <w:rFonts w:ascii="Arial" w:hAnsi="Arial" w:cs="Arial"/>
              </w:rPr>
              <w:t>Locality-specific 2020 Work GPCI, 2020 PE GPCI, 2020 MP GPCI for California as a result of the CY 2020 Final Rule, columns B, C, D, E, and F, excluding columns A and G labeled “Contractor” and “National Anes CF of 22.2016” [excel sheet: Locality Adjusted CFs]</w:t>
            </w:r>
          </w:p>
          <w:p w:rsidR="00BD7371" w:rsidRPr="00F07216" w:rsidRDefault="00BD7371" w:rsidP="00BD7371">
            <w:pPr>
              <w:numPr>
                <w:ilvl w:val="0"/>
                <w:numId w:val="42"/>
              </w:numPr>
              <w:rPr>
                <w:rFonts w:ascii="Arial" w:hAnsi="Arial" w:cs="Arial"/>
              </w:rPr>
            </w:pPr>
            <w:r w:rsidRPr="00F07216">
              <w:rPr>
                <w:rFonts w:ascii="Arial" w:hAnsi="Arial" w:cs="Arial"/>
              </w:rPr>
              <w:t>Anesthesia Shares [excel sheet: Anesthesia Shares]</w:t>
            </w:r>
          </w:p>
          <w:p w:rsidR="00CD0E44" w:rsidRPr="00F07216" w:rsidRDefault="00CD0E44" w:rsidP="00CD0E44">
            <w:pPr>
              <w:ind w:left="720"/>
              <w:rPr>
                <w:rFonts w:ascii="Arial" w:hAnsi="Arial" w:cs="Arial"/>
              </w:rPr>
            </w:pPr>
          </w:p>
          <w:p w:rsidR="00BD7371" w:rsidRPr="00F07216" w:rsidRDefault="00BD7371" w:rsidP="00BD7371">
            <w:pPr>
              <w:rPr>
                <w:rFonts w:ascii="Arial" w:hAnsi="Arial" w:cs="Arial"/>
              </w:rPr>
            </w:pPr>
            <w:r w:rsidRPr="00F07216">
              <w:rPr>
                <w:rFonts w:ascii="Arial" w:hAnsi="Arial" w:cs="Arial"/>
              </w:rPr>
              <w:t>Locality for anesthesia services determined by Medicare county to locality index.</w:t>
            </w:r>
          </w:p>
          <w:p w:rsidR="00BD7371" w:rsidRPr="00F07216" w:rsidRDefault="00BD7371" w:rsidP="00BD7371">
            <w:pPr>
              <w:rPr>
                <w:rFonts w:ascii="Arial" w:hAnsi="Arial" w:cs="Arial"/>
              </w:rPr>
            </w:pPr>
          </w:p>
          <w:p w:rsidR="00BD7371" w:rsidRPr="00F07216" w:rsidRDefault="00D2390A" w:rsidP="00BD7371">
            <w:pPr>
              <w:rPr>
                <w:rFonts w:ascii="Arial" w:hAnsi="Arial" w:cs="Arial"/>
              </w:rPr>
            </w:pPr>
            <w:hyperlink r:id="rId14" w:history="1">
              <w:r w:rsidR="00BD7371" w:rsidRPr="00F07216">
                <w:rPr>
                  <w:rStyle w:val="Hyperlink"/>
                  <w:rFonts w:cs="Arial"/>
                  <w:u w:val="none"/>
                </w:rPr>
                <w:t>RVU20A</w:t>
              </w:r>
            </w:hyperlink>
            <w:r w:rsidR="00BD7371" w:rsidRPr="00F07216">
              <w:rPr>
                <w:rFonts w:ascii="Arial" w:hAnsi="Arial" w:cs="Arial"/>
              </w:rPr>
              <w:t xml:space="preserve"> (County to locality index)</w:t>
            </w:r>
          </w:p>
          <w:p w:rsidR="00CD0E44" w:rsidRPr="00F07216" w:rsidRDefault="00BD7371" w:rsidP="00BD7371">
            <w:pPr>
              <w:numPr>
                <w:ilvl w:val="0"/>
                <w:numId w:val="40"/>
              </w:numPr>
              <w:spacing w:after="240"/>
              <w:rPr>
                <w:rFonts w:ascii="Arial" w:hAnsi="Arial" w:cs="Arial"/>
              </w:rPr>
            </w:pPr>
            <w:r w:rsidRPr="00F07216">
              <w:rPr>
                <w:rFonts w:ascii="Arial" w:hAnsi="Arial" w:cs="Arial"/>
              </w:rPr>
              <w:t>20LOCCO – Column B (“Locality Number”), column C (“State”), column D (“Fee Schedule Area”), and column E (“Counties”) for the State of California (“CA”)</w:t>
            </w:r>
          </w:p>
        </w:tc>
      </w:tr>
      <w:tr w:rsidR="00A933AC" w:rsidRPr="00573F80" w:rsidTr="00C21741">
        <w:trPr>
          <w:cantSplit/>
          <w:tblHeader/>
        </w:trPr>
        <w:tc>
          <w:tcPr>
            <w:tcW w:w="3063" w:type="dxa"/>
          </w:tcPr>
          <w:p w:rsidR="00A933AC" w:rsidRPr="00573F80" w:rsidRDefault="00A933AC" w:rsidP="00A933AC">
            <w:pPr>
              <w:rPr>
                <w:rFonts w:ascii="Arial" w:hAnsi="Arial" w:cs="Arial"/>
              </w:rPr>
            </w:pPr>
            <w:r w:rsidRPr="00573F80">
              <w:rPr>
                <w:rFonts w:ascii="Arial" w:hAnsi="Arial" w:cs="Arial"/>
              </w:rPr>
              <w:t>Geographic Practice Cost Index (GPCI) locality mapping</w:t>
            </w:r>
          </w:p>
          <w:p w:rsidR="00A933AC" w:rsidRPr="00573F80" w:rsidRDefault="00A933AC" w:rsidP="00A933AC">
            <w:pPr>
              <w:rPr>
                <w:rFonts w:ascii="Arial" w:hAnsi="Arial" w:cs="Arial"/>
              </w:rPr>
            </w:pPr>
          </w:p>
          <w:p w:rsidR="00A933AC" w:rsidRPr="00573F80" w:rsidRDefault="00A933AC" w:rsidP="00A933AC">
            <w:pPr>
              <w:widowControl w:val="0"/>
              <w:ind w:right="33"/>
              <w:outlineLvl w:val="0"/>
              <w:rPr>
                <w:rFonts w:ascii="Arial" w:hAnsi="Arial" w:cs="Arial"/>
              </w:rPr>
            </w:pPr>
            <w:r w:rsidRPr="00573F80">
              <w:rPr>
                <w:rFonts w:ascii="Arial" w:hAnsi="Arial" w:cs="Arial"/>
              </w:rPr>
              <w:t>Zip Code files mapping zip codes to GPCI locality (for “other than anesthesia services” and anesthesia services)</w:t>
            </w:r>
          </w:p>
        </w:tc>
        <w:tc>
          <w:tcPr>
            <w:tcW w:w="5433" w:type="dxa"/>
          </w:tcPr>
          <w:p w:rsidR="00B079F7" w:rsidRPr="00573F80" w:rsidRDefault="004062C5" w:rsidP="00B079F7">
            <w:pPr>
              <w:rPr>
                <w:rFonts w:ascii="Arial" w:hAnsi="Arial" w:cs="Arial"/>
              </w:rPr>
            </w:pPr>
            <w:r>
              <w:rPr>
                <w:rFonts w:ascii="Arial" w:hAnsi="Arial" w:cs="Arial"/>
              </w:rPr>
              <w:t>Updated to the 2020 files f</w:t>
            </w:r>
            <w:r w:rsidR="00B079F7" w:rsidRPr="00573F80">
              <w:rPr>
                <w:rFonts w:ascii="Arial" w:hAnsi="Arial" w:cs="Arial"/>
              </w:rPr>
              <w:t>or services rendered on or after January 1, 20</w:t>
            </w:r>
            <w:r w:rsidR="00E96FFD">
              <w:rPr>
                <w:rFonts w:ascii="Arial" w:hAnsi="Arial" w:cs="Arial"/>
              </w:rPr>
              <w:t>20</w:t>
            </w:r>
            <w:r w:rsidR="00B079F7" w:rsidRPr="00573F80">
              <w:rPr>
                <w:rFonts w:ascii="Arial" w:hAnsi="Arial" w:cs="Arial"/>
              </w:rPr>
              <w:t>:</w:t>
            </w:r>
          </w:p>
          <w:p w:rsidR="00B079F7" w:rsidRPr="00573F80" w:rsidRDefault="00B079F7" w:rsidP="00B079F7">
            <w:pPr>
              <w:rPr>
                <w:rFonts w:ascii="Arial" w:hAnsi="Arial" w:cs="Arial"/>
              </w:rPr>
            </w:pPr>
          </w:p>
          <w:p w:rsidR="00B079F7" w:rsidRPr="00573F80" w:rsidRDefault="00B079F7" w:rsidP="00B079F7">
            <w:pPr>
              <w:rPr>
                <w:rFonts w:ascii="Arial" w:hAnsi="Arial" w:cs="Arial"/>
              </w:rPr>
            </w:pPr>
            <w:r w:rsidRPr="00573F80">
              <w:rPr>
                <w:rFonts w:ascii="Arial" w:hAnsi="Arial" w:cs="Arial"/>
              </w:rPr>
              <w:t>Zip Code to Carri</w:t>
            </w:r>
            <w:r w:rsidR="00E96FFD">
              <w:rPr>
                <w:rFonts w:ascii="Arial" w:hAnsi="Arial" w:cs="Arial"/>
              </w:rPr>
              <w:t>er Locality File – Revised 11/19</w:t>
            </w:r>
            <w:r w:rsidRPr="00573F80">
              <w:rPr>
                <w:rFonts w:ascii="Arial" w:hAnsi="Arial" w:cs="Arial"/>
              </w:rPr>
              <w:t>/201</w:t>
            </w:r>
            <w:r w:rsidR="00E96FFD">
              <w:rPr>
                <w:rFonts w:ascii="Arial" w:hAnsi="Arial" w:cs="Arial"/>
              </w:rPr>
              <w:t>9 [ZIP</w:t>
            </w:r>
            <w:r w:rsidRPr="00573F80">
              <w:rPr>
                <w:rFonts w:ascii="Arial" w:hAnsi="Arial" w:cs="Arial"/>
              </w:rPr>
              <w:t>], Column A (“STATE”), column B (“ZIP CODE”), and column D (“LOCALITY”) for the State of California (“CA”)</w:t>
            </w:r>
          </w:p>
          <w:p w:rsidR="00B079F7" w:rsidRPr="00573F80" w:rsidRDefault="00B079F7" w:rsidP="00B079F7">
            <w:pPr>
              <w:rPr>
                <w:rFonts w:ascii="Arial" w:hAnsi="Arial" w:cs="Arial"/>
              </w:rPr>
            </w:pPr>
          </w:p>
          <w:p w:rsidR="00A933AC" w:rsidRDefault="00B079F7" w:rsidP="00E96FFD">
            <w:pPr>
              <w:widowControl w:val="0"/>
              <w:spacing w:after="120"/>
              <w:outlineLvl w:val="0"/>
              <w:rPr>
                <w:rFonts w:ascii="Arial" w:hAnsi="Arial" w:cs="Arial"/>
              </w:rPr>
            </w:pPr>
            <w:r w:rsidRPr="00E96FFD">
              <w:rPr>
                <w:rFonts w:ascii="Arial" w:hAnsi="Arial" w:cs="Arial"/>
              </w:rPr>
              <w:t xml:space="preserve">Zip Codes </w:t>
            </w:r>
            <w:r w:rsidR="00E96FFD">
              <w:rPr>
                <w:rFonts w:ascii="Arial" w:hAnsi="Arial" w:cs="Arial"/>
              </w:rPr>
              <w:t>requiring 4 extension – Revised 11/19</w:t>
            </w:r>
            <w:r w:rsidRPr="00E96FFD">
              <w:rPr>
                <w:rFonts w:ascii="Arial" w:hAnsi="Arial" w:cs="Arial"/>
              </w:rPr>
              <w:t>/201</w:t>
            </w:r>
            <w:r w:rsidR="00E96FFD">
              <w:rPr>
                <w:rFonts w:ascii="Arial" w:hAnsi="Arial" w:cs="Arial"/>
              </w:rPr>
              <w:t>9</w:t>
            </w:r>
            <w:r w:rsidRPr="00E96FFD">
              <w:rPr>
                <w:rFonts w:ascii="Arial" w:hAnsi="Arial" w:cs="Arial"/>
              </w:rPr>
              <w:t xml:space="preserve"> [ZIP]</w:t>
            </w:r>
            <w:r w:rsidRPr="00573F80">
              <w:rPr>
                <w:rFonts w:ascii="Arial" w:hAnsi="Arial" w:cs="Arial"/>
              </w:rPr>
              <w:t>, for the State of California (“CA”)</w:t>
            </w:r>
          </w:p>
          <w:p w:rsidR="00E96FFD" w:rsidRPr="00573F80" w:rsidRDefault="00E96FFD" w:rsidP="00E96FFD">
            <w:pPr>
              <w:widowControl w:val="0"/>
              <w:spacing w:after="120"/>
              <w:outlineLvl w:val="0"/>
              <w:rPr>
                <w:rFonts w:ascii="Arial" w:hAnsi="Arial" w:cs="Arial"/>
              </w:rPr>
            </w:pPr>
            <w:r>
              <w:rPr>
                <w:rFonts w:ascii="Arial" w:hAnsi="Arial" w:cs="Arial"/>
              </w:rPr>
              <w:t xml:space="preserve">The current </w:t>
            </w:r>
            <w:hyperlink r:id="rId15" w:history="1">
              <w:r w:rsidRPr="00E96FFD">
                <w:rPr>
                  <w:rStyle w:val="Hyperlink"/>
                  <w:rFonts w:cs="Arial"/>
                </w:rPr>
                <w:t>CMS Zip Code to Carrier Locality files</w:t>
              </w:r>
            </w:hyperlink>
            <w:r>
              <w:rPr>
                <w:rFonts w:ascii="Arial" w:hAnsi="Arial" w:cs="Arial"/>
              </w:rPr>
              <w:t xml:space="preserve"> can be accessed on the CMS website: </w:t>
            </w:r>
            <w:hyperlink r:id="rId16" w:tooltip="https://www.cms.gov/Medicare/Medicare-Fee-for-Service-Payment/FeeScheduleGenInfo/index" w:history="1">
              <w:r>
                <w:rPr>
                  <w:rStyle w:val="Hyperlink"/>
                </w:rPr>
                <w:t>https://www.cms.gov/Medicare/Medicare-Fee-for-Service-Payment/FeeScheduleGenInfo/index</w:t>
              </w:r>
            </w:hyperlink>
            <w:bookmarkStart w:id="0" w:name="_GoBack"/>
            <w:bookmarkEnd w:id="0"/>
          </w:p>
        </w:tc>
      </w:tr>
      <w:tr w:rsidR="00D77344" w:rsidRPr="00573F80" w:rsidTr="00C21741">
        <w:trPr>
          <w:cantSplit/>
          <w:tblHeader/>
        </w:trPr>
        <w:tc>
          <w:tcPr>
            <w:tcW w:w="3063" w:type="dxa"/>
          </w:tcPr>
          <w:p w:rsidR="00D77344" w:rsidRPr="00573F80" w:rsidRDefault="00A933AC" w:rsidP="006B75AB">
            <w:pPr>
              <w:widowControl w:val="0"/>
              <w:ind w:right="33"/>
              <w:outlineLvl w:val="0"/>
              <w:rPr>
                <w:rFonts w:ascii="Arial" w:hAnsi="Arial" w:cs="Arial"/>
              </w:rPr>
            </w:pPr>
            <w:r w:rsidRPr="00573F80">
              <w:rPr>
                <w:rFonts w:ascii="Arial" w:hAnsi="Arial" w:cs="Arial"/>
              </w:rPr>
              <w:lastRenderedPageBreak/>
              <w:t xml:space="preserve">Geographic </w:t>
            </w:r>
            <w:r w:rsidR="00D77344" w:rsidRPr="00573F80">
              <w:rPr>
                <w:rFonts w:ascii="Arial" w:hAnsi="Arial" w:cs="Arial"/>
              </w:rPr>
              <w:t>Health Professional Shortage Area zip code data files</w:t>
            </w:r>
          </w:p>
        </w:tc>
        <w:tc>
          <w:tcPr>
            <w:tcW w:w="5433" w:type="dxa"/>
          </w:tcPr>
          <w:p w:rsidR="00D77344" w:rsidRPr="00573F80" w:rsidRDefault="007F2457" w:rsidP="006B75AB">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0B030C">
              <w:rPr>
                <w:rFonts w:ascii="Arial" w:hAnsi="Arial" w:cs="Arial"/>
              </w:rPr>
              <w:t>20</w:t>
            </w:r>
            <w:r w:rsidRPr="00573F80">
              <w:rPr>
                <w:rFonts w:ascii="Arial" w:hAnsi="Arial" w:cs="Arial"/>
              </w:rPr>
              <w:t xml:space="preserve"> files for the Primary Care </w:t>
            </w:r>
            <w:r w:rsidR="004243C4" w:rsidRPr="00573F80">
              <w:rPr>
                <w:rFonts w:ascii="Arial" w:hAnsi="Arial" w:cs="Arial"/>
              </w:rPr>
              <w:t xml:space="preserve">Geographic </w:t>
            </w:r>
            <w:r w:rsidRPr="00573F80">
              <w:rPr>
                <w:rFonts w:ascii="Arial" w:hAnsi="Arial" w:cs="Arial"/>
              </w:rPr>
              <w:t xml:space="preserve">HPSA and the Mental Health </w:t>
            </w:r>
            <w:r w:rsidR="004243C4" w:rsidRPr="00573F80">
              <w:rPr>
                <w:rFonts w:ascii="Arial" w:hAnsi="Arial" w:cs="Arial"/>
              </w:rPr>
              <w:t xml:space="preserve">Geographic </w:t>
            </w:r>
            <w:r w:rsidRPr="00573F80">
              <w:rPr>
                <w:rFonts w:ascii="Arial" w:hAnsi="Arial" w:cs="Arial"/>
              </w:rPr>
              <w:t>HPSA.</w:t>
            </w:r>
          </w:p>
          <w:p w:rsidR="00980D68" w:rsidRPr="00573F80" w:rsidRDefault="00980D68" w:rsidP="006B75AB">
            <w:pPr>
              <w:widowControl w:val="0"/>
              <w:outlineLvl w:val="0"/>
              <w:rPr>
                <w:rFonts w:ascii="Arial" w:hAnsi="Arial" w:cs="Arial"/>
              </w:rPr>
            </w:pPr>
          </w:p>
        </w:tc>
      </w:tr>
      <w:tr w:rsidR="00D77344" w:rsidRPr="00573F80" w:rsidTr="00C21741">
        <w:trPr>
          <w:cantSplit/>
          <w:tblHeader/>
        </w:trPr>
        <w:tc>
          <w:tcPr>
            <w:tcW w:w="3063" w:type="dxa"/>
          </w:tcPr>
          <w:p w:rsidR="000B030C" w:rsidRPr="000B030C" w:rsidRDefault="000B030C" w:rsidP="000B030C">
            <w:pPr>
              <w:widowControl w:val="0"/>
              <w:spacing w:after="120"/>
              <w:ind w:right="29"/>
              <w:outlineLvl w:val="0"/>
              <w:rPr>
                <w:rFonts w:ascii="Arial" w:hAnsi="Arial" w:cs="Arial"/>
              </w:rPr>
            </w:pPr>
            <w:r w:rsidRPr="000B030C">
              <w:rPr>
                <w:rFonts w:ascii="Arial" w:hAnsi="Arial" w:cs="Arial"/>
              </w:rPr>
              <w:t>Health Resources and Services Administration: Geographic HPSA shortage area query</w:t>
            </w:r>
          </w:p>
          <w:p w:rsidR="00D77344" w:rsidRPr="00573F80" w:rsidRDefault="000B030C" w:rsidP="000B030C">
            <w:pPr>
              <w:widowControl w:val="0"/>
              <w:spacing w:after="240"/>
              <w:ind w:right="29"/>
              <w:outlineLvl w:val="0"/>
              <w:rPr>
                <w:rFonts w:ascii="Arial" w:hAnsi="Arial" w:cs="Arial"/>
              </w:rPr>
            </w:pPr>
            <w:r w:rsidRPr="000B030C">
              <w:rPr>
                <w:rFonts w:ascii="Arial" w:hAnsi="Arial" w:cs="Arial"/>
              </w:rPr>
              <w:t>(By State &amp; County)</w:t>
            </w:r>
          </w:p>
        </w:tc>
        <w:tc>
          <w:tcPr>
            <w:tcW w:w="5433" w:type="dxa"/>
          </w:tcPr>
          <w:p w:rsidR="00D77344" w:rsidRPr="00573F80" w:rsidRDefault="00980D68" w:rsidP="006B75AB">
            <w:pPr>
              <w:widowControl w:val="0"/>
              <w:outlineLvl w:val="0"/>
              <w:rPr>
                <w:rFonts w:ascii="Arial" w:hAnsi="Arial" w:cs="Arial"/>
              </w:rPr>
            </w:pPr>
            <w:r w:rsidRPr="00573F80">
              <w:rPr>
                <w:rFonts w:ascii="Arial" w:hAnsi="Arial" w:cs="Arial"/>
              </w:rPr>
              <w:t xml:space="preserve">Sets forth reference to the HRSA </w:t>
            </w:r>
            <w:r w:rsidR="00716985" w:rsidRPr="00573F80">
              <w:rPr>
                <w:rFonts w:ascii="Arial" w:hAnsi="Arial" w:cs="Arial"/>
              </w:rPr>
              <w:t xml:space="preserve">Geographic </w:t>
            </w:r>
            <w:r w:rsidRPr="00573F80">
              <w:rPr>
                <w:rFonts w:ascii="Arial" w:hAnsi="Arial" w:cs="Arial"/>
              </w:rPr>
              <w:t xml:space="preserve">HPSA shortage </w:t>
            </w:r>
            <w:r w:rsidR="00244D2A">
              <w:rPr>
                <w:rFonts w:ascii="Arial" w:hAnsi="Arial" w:cs="Arial"/>
              </w:rPr>
              <w:t xml:space="preserve">area </w:t>
            </w:r>
            <w:r w:rsidRPr="00573F80">
              <w:rPr>
                <w:rFonts w:ascii="Arial" w:hAnsi="Arial" w:cs="Arial"/>
              </w:rPr>
              <w:t>web page query by state/county.</w:t>
            </w:r>
          </w:p>
          <w:p w:rsidR="00C62C66" w:rsidRPr="00573F80" w:rsidRDefault="00C62C66" w:rsidP="006B75AB">
            <w:pPr>
              <w:widowControl w:val="0"/>
              <w:outlineLvl w:val="0"/>
              <w:rPr>
                <w:rFonts w:ascii="Arial" w:hAnsi="Arial" w:cs="Arial"/>
              </w:rPr>
            </w:pPr>
          </w:p>
        </w:tc>
      </w:tr>
      <w:tr w:rsidR="000B030C" w:rsidRPr="00573F80" w:rsidTr="00C21741">
        <w:trPr>
          <w:cantSplit/>
          <w:tblHeader/>
        </w:trPr>
        <w:tc>
          <w:tcPr>
            <w:tcW w:w="3063" w:type="dxa"/>
          </w:tcPr>
          <w:p w:rsidR="000B030C" w:rsidRPr="000B030C" w:rsidRDefault="000B030C" w:rsidP="000B030C">
            <w:pPr>
              <w:widowControl w:val="0"/>
              <w:spacing w:after="120"/>
              <w:ind w:right="29"/>
              <w:outlineLvl w:val="0"/>
              <w:rPr>
                <w:rFonts w:ascii="Arial" w:hAnsi="Arial" w:cs="Arial"/>
              </w:rPr>
            </w:pPr>
            <w:r w:rsidRPr="000B030C">
              <w:rPr>
                <w:rFonts w:ascii="Arial" w:hAnsi="Arial" w:cs="Arial"/>
              </w:rPr>
              <w:t>Health Resources and Services Administration: Geographic HPSA shortage area query</w:t>
            </w:r>
          </w:p>
          <w:p w:rsidR="000B030C" w:rsidRPr="00573F80" w:rsidRDefault="000B030C" w:rsidP="000B030C">
            <w:pPr>
              <w:widowControl w:val="0"/>
              <w:spacing w:after="240"/>
              <w:ind w:right="29"/>
              <w:outlineLvl w:val="0"/>
              <w:rPr>
                <w:rFonts w:ascii="Arial" w:hAnsi="Arial" w:cs="Arial"/>
              </w:rPr>
            </w:pPr>
            <w:r w:rsidRPr="000B030C">
              <w:rPr>
                <w:rFonts w:ascii="Arial" w:hAnsi="Arial" w:cs="Arial"/>
              </w:rPr>
              <w:t>(By Address)</w:t>
            </w:r>
          </w:p>
        </w:tc>
        <w:tc>
          <w:tcPr>
            <w:tcW w:w="5433" w:type="dxa"/>
          </w:tcPr>
          <w:p w:rsidR="000B030C" w:rsidRPr="00573F80" w:rsidRDefault="000B030C" w:rsidP="000B030C">
            <w:pPr>
              <w:widowControl w:val="0"/>
              <w:outlineLvl w:val="0"/>
              <w:rPr>
                <w:rFonts w:ascii="Arial" w:hAnsi="Arial" w:cs="Arial"/>
              </w:rPr>
            </w:pPr>
            <w:r w:rsidRPr="00573F80">
              <w:rPr>
                <w:rFonts w:ascii="Arial" w:hAnsi="Arial" w:cs="Arial"/>
              </w:rPr>
              <w:t>Sets forth reference to the HRSA Geographic HPSA shortage web page query by address.</w:t>
            </w:r>
          </w:p>
          <w:p w:rsidR="000B030C" w:rsidRPr="00573F80" w:rsidRDefault="000B030C" w:rsidP="006B75AB">
            <w:pPr>
              <w:widowControl w:val="0"/>
              <w:outlineLvl w:val="0"/>
              <w:rPr>
                <w:rFonts w:ascii="Arial" w:hAnsi="Arial" w:cs="Arial"/>
              </w:rPr>
            </w:pPr>
          </w:p>
        </w:tc>
      </w:tr>
      <w:tr w:rsidR="00D77344" w:rsidRPr="00573F80" w:rsidTr="00C21741">
        <w:trPr>
          <w:cantSplit/>
          <w:tblHeader/>
        </w:trPr>
        <w:tc>
          <w:tcPr>
            <w:tcW w:w="3063" w:type="dxa"/>
          </w:tcPr>
          <w:p w:rsidR="00D77344" w:rsidRPr="00573F80" w:rsidRDefault="00C62C66" w:rsidP="006B75AB">
            <w:pPr>
              <w:widowControl w:val="0"/>
              <w:ind w:right="33"/>
              <w:outlineLvl w:val="0"/>
              <w:rPr>
                <w:rFonts w:ascii="Arial" w:hAnsi="Arial" w:cs="Arial"/>
              </w:rPr>
            </w:pPr>
            <w:r w:rsidRPr="00573F80">
              <w:rPr>
                <w:rFonts w:ascii="Arial" w:hAnsi="Arial" w:cs="Arial"/>
              </w:rPr>
              <w:t>Incident To Codes</w:t>
            </w:r>
          </w:p>
        </w:tc>
        <w:tc>
          <w:tcPr>
            <w:tcW w:w="5433" w:type="dxa"/>
          </w:tcPr>
          <w:p w:rsidR="00D77344" w:rsidRPr="00573F80" w:rsidRDefault="00C62C66" w:rsidP="006B75AB">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2E1D35">
              <w:rPr>
                <w:rFonts w:ascii="Arial" w:hAnsi="Arial" w:cs="Arial"/>
              </w:rPr>
              <w:t>20</w:t>
            </w:r>
            <w:r w:rsidRPr="00573F80">
              <w:rPr>
                <w:rFonts w:ascii="Arial" w:hAnsi="Arial" w:cs="Arial"/>
              </w:rPr>
              <w:t>.</w:t>
            </w:r>
          </w:p>
          <w:p w:rsidR="00C62C66" w:rsidRPr="00573F80" w:rsidRDefault="00C62C66" w:rsidP="006B75AB">
            <w:pPr>
              <w:widowControl w:val="0"/>
              <w:outlineLvl w:val="0"/>
              <w:rPr>
                <w:rFonts w:ascii="Arial" w:hAnsi="Arial" w:cs="Arial"/>
              </w:rPr>
            </w:pPr>
          </w:p>
        </w:tc>
      </w:tr>
      <w:tr w:rsidR="00D77344" w:rsidRPr="00573F80" w:rsidTr="00C21741">
        <w:trPr>
          <w:cantSplit/>
          <w:tblHeader/>
        </w:trPr>
        <w:tc>
          <w:tcPr>
            <w:tcW w:w="3063" w:type="dxa"/>
          </w:tcPr>
          <w:p w:rsidR="00D77344" w:rsidRPr="00C84421" w:rsidRDefault="00C62C66" w:rsidP="006B75AB">
            <w:pPr>
              <w:widowControl w:val="0"/>
              <w:ind w:right="33"/>
              <w:outlineLvl w:val="0"/>
              <w:rPr>
                <w:rFonts w:ascii="Arial" w:hAnsi="Arial" w:cs="Arial"/>
              </w:rPr>
            </w:pPr>
            <w:r w:rsidRPr="00C84421">
              <w:rPr>
                <w:rFonts w:ascii="Arial" w:hAnsi="Arial" w:cs="Arial"/>
              </w:rPr>
              <w:t>Medi-Cal Rates – DHCS</w:t>
            </w:r>
          </w:p>
        </w:tc>
        <w:tc>
          <w:tcPr>
            <w:tcW w:w="5433" w:type="dxa"/>
          </w:tcPr>
          <w:p w:rsidR="00C62C66" w:rsidRPr="00C84421" w:rsidRDefault="00C84421" w:rsidP="00C84421">
            <w:pPr>
              <w:widowControl w:val="0"/>
              <w:spacing w:after="240"/>
              <w:outlineLvl w:val="0"/>
              <w:rPr>
                <w:rFonts w:ascii="Arial" w:hAnsi="Arial" w:cs="Arial"/>
              </w:rPr>
            </w:pPr>
            <w:r>
              <w:rPr>
                <w:rFonts w:ascii="Arial" w:hAnsi="Arial" w:cs="Arial"/>
              </w:rPr>
              <w:t>Updated f</w:t>
            </w:r>
            <w:r w:rsidR="00B57613" w:rsidRPr="00C84421">
              <w:rPr>
                <w:rFonts w:ascii="Arial" w:hAnsi="Arial" w:cs="Arial"/>
              </w:rPr>
              <w:t xml:space="preserve">or services rendered on or after </w:t>
            </w:r>
            <w:r w:rsidR="00B079F7" w:rsidRPr="00C84421">
              <w:rPr>
                <w:rFonts w:ascii="Arial" w:hAnsi="Arial" w:cs="Arial"/>
              </w:rPr>
              <w:t>January 1,</w:t>
            </w:r>
            <w:r w:rsidR="00B57613" w:rsidRPr="00C84421">
              <w:rPr>
                <w:rFonts w:ascii="Arial" w:hAnsi="Arial" w:cs="Arial"/>
              </w:rPr>
              <w:t xml:space="preserve"> 20</w:t>
            </w:r>
            <w:r w:rsidRPr="00C84421">
              <w:rPr>
                <w:rFonts w:ascii="Arial" w:hAnsi="Arial" w:cs="Arial"/>
              </w:rPr>
              <w:t>20</w:t>
            </w:r>
            <w:r w:rsidR="00B57613" w:rsidRPr="00C84421">
              <w:rPr>
                <w:rFonts w:ascii="Arial" w:hAnsi="Arial" w:cs="Arial"/>
              </w:rPr>
              <w:t>, use: Medi-Cal Rates file – Updated 12/15/201</w:t>
            </w:r>
            <w:r w:rsidRPr="00C84421">
              <w:rPr>
                <w:rFonts w:ascii="Arial" w:hAnsi="Arial" w:cs="Arial"/>
              </w:rPr>
              <w:t>9</w:t>
            </w:r>
            <w:r w:rsidR="00B57613" w:rsidRPr="00C84421">
              <w:rPr>
                <w:rFonts w:ascii="Arial" w:hAnsi="Arial" w:cs="Arial"/>
              </w:rPr>
              <w:t>.</w:t>
            </w:r>
            <w:r w:rsidR="00350799" w:rsidRPr="00C84421">
              <w:rPr>
                <w:rFonts w:ascii="Arial" w:hAnsi="Arial" w:cs="Arial"/>
              </w:rPr>
              <w:t xml:space="preserve"> </w:t>
            </w:r>
            <w:r w:rsidR="00036946" w:rsidRPr="00C84421">
              <w:rPr>
                <w:rFonts w:ascii="Arial" w:hAnsi="Arial" w:cs="Arial"/>
              </w:rPr>
              <w:t xml:space="preserve">[The </w:t>
            </w:r>
            <w:r w:rsidR="00B57613" w:rsidRPr="00C84421">
              <w:rPr>
                <w:rFonts w:ascii="Arial" w:hAnsi="Arial" w:cs="Arial"/>
              </w:rPr>
              <w:t>1</w:t>
            </w:r>
            <w:r w:rsidR="00036946" w:rsidRPr="00C84421">
              <w:rPr>
                <w:rFonts w:ascii="Arial" w:hAnsi="Arial" w:cs="Arial"/>
              </w:rPr>
              <w:t>2</w:t>
            </w:r>
            <w:r w:rsidR="00147FD4" w:rsidRPr="00C84421">
              <w:rPr>
                <w:rFonts w:ascii="Arial" w:hAnsi="Arial" w:cs="Arial"/>
              </w:rPr>
              <w:t>/15/201</w:t>
            </w:r>
            <w:r w:rsidRPr="00C84421">
              <w:rPr>
                <w:rFonts w:ascii="Arial" w:hAnsi="Arial" w:cs="Arial"/>
              </w:rPr>
              <w:t>9</w:t>
            </w:r>
            <w:r w:rsidR="00147FD4" w:rsidRPr="00C84421">
              <w:rPr>
                <w:rFonts w:ascii="Arial" w:hAnsi="Arial" w:cs="Arial"/>
              </w:rPr>
              <w:t xml:space="preserve"> Medi-Cal rates file will be available on approximately </w:t>
            </w:r>
            <w:r w:rsidR="00036946" w:rsidRPr="00C84421">
              <w:rPr>
                <w:rFonts w:ascii="Arial" w:hAnsi="Arial" w:cs="Arial"/>
              </w:rPr>
              <w:t>December</w:t>
            </w:r>
            <w:r w:rsidR="00147FD4" w:rsidRPr="00C84421">
              <w:rPr>
                <w:rFonts w:ascii="Arial" w:hAnsi="Arial" w:cs="Arial"/>
              </w:rPr>
              <w:t xml:space="preserve"> 16, 201</w:t>
            </w:r>
            <w:r w:rsidRPr="00C84421">
              <w:rPr>
                <w:rFonts w:ascii="Arial" w:hAnsi="Arial" w:cs="Arial"/>
              </w:rPr>
              <w:t>9</w:t>
            </w:r>
            <w:r w:rsidR="00147FD4" w:rsidRPr="00C84421">
              <w:rPr>
                <w:rFonts w:ascii="Arial" w:hAnsi="Arial" w:cs="Arial"/>
              </w:rPr>
              <w:t xml:space="preserve">.] </w:t>
            </w:r>
            <w:r w:rsidR="003B7608" w:rsidRPr="00C84421">
              <w:rPr>
                <w:rFonts w:ascii="Arial" w:hAnsi="Arial" w:cs="Arial"/>
              </w:rPr>
              <w:t>The Medi-Cal rates file w</w:t>
            </w:r>
            <w:r w:rsidR="00350799" w:rsidRPr="00C84421">
              <w:rPr>
                <w:rFonts w:ascii="Arial" w:hAnsi="Arial" w:cs="Arial"/>
              </w:rPr>
              <w:t>ill be updated monthly by Administrative Director’s posting order.</w:t>
            </w:r>
            <w:r w:rsidR="002E2B34" w:rsidRPr="00C84421">
              <w:rPr>
                <w:rFonts w:ascii="Arial" w:hAnsi="Arial" w:cs="Arial"/>
              </w:rPr>
              <w:t xml:space="preserve"> Medi-Cal rates are updated as of the 15</w:t>
            </w:r>
            <w:r w:rsidR="002E2B34" w:rsidRPr="00C84421">
              <w:rPr>
                <w:rFonts w:ascii="Arial" w:hAnsi="Arial" w:cs="Arial"/>
                <w:vertAlign w:val="superscript"/>
              </w:rPr>
              <w:t>th</w:t>
            </w:r>
            <w:r w:rsidR="002E2B34" w:rsidRPr="00C84421">
              <w:rPr>
                <w:rFonts w:ascii="Arial" w:hAnsi="Arial" w:cs="Arial"/>
              </w:rPr>
              <w:t xml:space="preserve"> of each month, posted to the Medi-Cal website on the 16</w:t>
            </w:r>
            <w:r w:rsidR="002E2B34" w:rsidRPr="00C84421">
              <w:rPr>
                <w:rFonts w:ascii="Arial" w:hAnsi="Arial" w:cs="Arial"/>
                <w:vertAlign w:val="superscript"/>
              </w:rPr>
              <w:t>th</w:t>
            </w:r>
            <w:r w:rsidR="002E2B34" w:rsidRPr="00C84421">
              <w:rPr>
                <w:rFonts w:ascii="Arial" w:hAnsi="Arial" w:cs="Arial"/>
              </w:rPr>
              <w:t xml:space="preserve"> of each month, and posted to the DWC website as soon as feasible.</w:t>
            </w:r>
          </w:p>
        </w:tc>
      </w:tr>
      <w:tr w:rsidR="00D77344" w:rsidRPr="00573F80" w:rsidTr="00C21741">
        <w:trPr>
          <w:cantSplit/>
          <w:tblHeader/>
        </w:trPr>
        <w:tc>
          <w:tcPr>
            <w:tcW w:w="3063" w:type="dxa"/>
          </w:tcPr>
          <w:p w:rsidR="00D77344" w:rsidRPr="00573F80" w:rsidRDefault="00C62C66" w:rsidP="006B75AB">
            <w:pPr>
              <w:widowControl w:val="0"/>
              <w:ind w:right="33"/>
              <w:outlineLvl w:val="0"/>
              <w:rPr>
                <w:rFonts w:ascii="Arial" w:hAnsi="Arial" w:cs="Arial"/>
              </w:rPr>
            </w:pPr>
            <w:r w:rsidRPr="00573F80">
              <w:rPr>
                <w:rFonts w:ascii="Arial" w:hAnsi="Arial" w:cs="Arial"/>
              </w:rPr>
              <w:t>Ophthalmology Procedure CPT codes subject to the MPPR</w:t>
            </w:r>
          </w:p>
          <w:p w:rsidR="00C62C66" w:rsidRPr="00573F80" w:rsidRDefault="00C62C66" w:rsidP="006B75AB">
            <w:pPr>
              <w:widowControl w:val="0"/>
              <w:ind w:right="33"/>
              <w:outlineLvl w:val="0"/>
              <w:rPr>
                <w:rFonts w:ascii="Arial" w:hAnsi="Arial" w:cs="Arial"/>
              </w:rPr>
            </w:pPr>
          </w:p>
        </w:tc>
        <w:tc>
          <w:tcPr>
            <w:tcW w:w="5433" w:type="dxa"/>
          </w:tcPr>
          <w:p w:rsidR="00D77344" w:rsidRPr="00573F80" w:rsidRDefault="00C62C66" w:rsidP="00C84421">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C84421">
              <w:rPr>
                <w:rFonts w:ascii="Arial" w:hAnsi="Arial" w:cs="Arial"/>
              </w:rPr>
              <w:t>20</w:t>
            </w:r>
            <w:r w:rsidRPr="00573F80">
              <w:rPr>
                <w:rFonts w:ascii="Arial" w:hAnsi="Arial" w:cs="Arial"/>
              </w:rPr>
              <w:t>.</w:t>
            </w:r>
          </w:p>
        </w:tc>
      </w:tr>
      <w:tr w:rsidR="00D77344" w:rsidRPr="00573F80" w:rsidTr="00C21741">
        <w:trPr>
          <w:cantSplit/>
          <w:tblHeader/>
        </w:trPr>
        <w:tc>
          <w:tcPr>
            <w:tcW w:w="3063" w:type="dxa"/>
          </w:tcPr>
          <w:p w:rsidR="00D77344" w:rsidRPr="00573F80" w:rsidRDefault="00C62C66" w:rsidP="006B75AB">
            <w:pPr>
              <w:widowControl w:val="0"/>
              <w:ind w:right="33"/>
              <w:outlineLvl w:val="0"/>
              <w:rPr>
                <w:rFonts w:ascii="Arial" w:hAnsi="Arial" w:cs="Arial"/>
              </w:rPr>
            </w:pPr>
            <w:r w:rsidRPr="00573F80">
              <w:rPr>
                <w:rFonts w:ascii="Arial" w:hAnsi="Arial" w:cs="Arial"/>
              </w:rPr>
              <w:t>Physical Therapy Multiple Procedure Payment Reduction: “Always Therapy” Codes; and Acupuncture and Chiropractic Codes</w:t>
            </w:r>
          </w:p>
          <w:p w:rsidR="00C62C66" w:rsidRPr="00573F80" w:rsidRDefault="00C62C66" w:rsidP="006B75AB">
            <w:pPr>
              <w:widowControl w:val="0"/>
              <w:ind w:right="33"/>
              <w:outlineLvl w:val="0"/>
              <w:rPr>
                <w:rFonts w:ascii="Arial" w:hAnsi="Arial" w:cs="Arial"/>
              </w:rPr>
            </w:pPr>
          </w:p>
        </w:tc>
        <w:tc>
          <w:tcPr>
            <w:tcW w:w="5433" w:type="dxa"/>
          </w:tcPr>
          <w:p w:rsidR="00D77344" w:rsidRPr="00573F80" w:rsidRDefault="00C62C66" w:rsidP="002E2B34">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C84421">
              <w:rPr>
                <w:rFonts w:ascii="Arial" w:hAnsi="Arial" w:cs="Arial"/>
              </w:rPr>
              <w:t>20</w:t>
            </w:r>
            <w:r w:rsidR="00B4703F" w:rsidRPr="00573F80">
              <w:rPr>
                <w:rFonts w:ascii="Arial" w:hAnsi="Arial" w:cs="Arial"/>
              </w:rPr>
              <w:t xml:space="preserve"> Medicare list of “Always Therapy Codes”</w:t>
            </w:r>
            <w:r w:rsidRPr="00573F80">
              <w:rPr>
                <w:rFonts w:ascii="Arial" w:hAnsi="Arial" w:cs="Arial"/>
              </w:rPr>
              <w:t>.</w:t>
            </w:r>
            <w:r w:rsidR="00B4703F" w:rsidRPr="00573F80">
              <w:rPr>
                <w:rFonts w:ascii="Arial" w:hAnsi="Arial" w:cs="Arial"/>
              </w:rPr>
              <w:t xml:space="preserve"> </w:t>
            </w:r>
            <w:r w:rsidR="002E2B34" w:rsidRPr="00573F80">
              <w:rPr>
                <w:rFonts w:ascii="Arial" w:hAnsi="Arial" w:cs="Arial"/>
              </w:rPr>
              <w:t>In addition, r</w:t>
            </w:r>
            <w:r w:rsidR="00B4703F" w:rsidRPr="00573F80">
              <w:rPr>
                <w:rFonts w:ascii="Arial" w:hAnsi="Arial" w:cs="Arial"/>
              </w:rPr>
              <w:t>etain the acupuncture codes and chiropractic manipulation codes</w:t>
            </w:r>
            <w:r w:rsidR="002E2B34" w:rsidRPr="00573F80">
              <w:rPr>
                <w:rFonts w:ascii="Arial" w:hAnsi="Arial" w:cs="Arial"/>
              </w:rPr>
              <w:t>, which are</w:t>
            </w:r>
            <w:r w:rsidR="00B4703F" w:rsidRPr="00573F80">
              <w:rPr>
                <w:rFonts w:ascii="Arial" w:hAnsi="Arial" w:cs="Arial"/>
              </w:rPr>
              <w:t xml:space="preserve"> unchanged from 201</w:t>
            </w:r>
            <w:r w:rsidR="00C84421">
              <w:rPr>
                <w:rFonts w:ascii="Arial" w:hAnsi="Arial" w:cs="Arial"/>
              </w:rPr>
              <w:t>9</w:t>
            </w:r>
            <w:r w:rsidR="00B4703F" w:rsidRPr="00573F80">
              <w:rPr>
                <w:rFonts w:ascii="Arial" w:hAnsi="Arial" w:cs="Arial"/>
              </w:rPr>
              <w:t>.</w:t>
            </w:r>
          </w:p>
          <w:p w:rsidR="0074706E" w:rsidRPr="00573F80" w:rsidRDefault="0074706E" w:rsidP="002E2B34">
            <w:pPr>
              <w:widowControl w:val="0"/>
              <w:outlineLvl w:val="0"/>
              <w:rPr>
                <w:rFonts w:ascii="Arial" w:hAnsi="Arial" w:cs="Arial"/>
              </w:rPr>
            </w:pPr>
          </w:p>
        </w:tc>
      </w:tr>
      <w:tr w:rsidR="00C62C66" w:rsidRPr="00573F80" w:rsidTr="00C21741">
        <w:trPr>
          <w:cantSplit/>
          <w:tblHeader/>
        </w:trPr>
        <w:tc>
          <w:tcPr>
            <w:tcW w:w="3063" w:type="dxa"/>
          </w:tcPr>
          <w:p w:rsidR="00C62C66" w:rsidRPr="00573F80" w:rsidRDefault="00C62C66" w:rsidP="006B75AB">
            <w:pPr>
              <w:widowControl w:val="0"/>
              <w:ind w:right="33"/>
              <w:outlineLvl w:val="0"/>
              <w:rPr>
                <w:rFonts w:ascii="Arial" w:hAnsi="Arial" w:cs="Arial"/>
              </w:rPr>
            </w:pPr>
            <w:r w:rsidRPr="00573F80">
              <w:rPr>
                <w:rFonts w:ascii="Arial" w:hAnsi="Arial" w:cs="Arial"/>
              </w:rPr>
              <w:t>Physician Time</w:t>
            </w:r>
          </w:p>
        </w:tc>
        <w:tc>
          <w:tcPr>
            <w:tcW w:w="5433" w:type="dxa"/>
          </w:tcPr>
          <w:p w:rsidR="00C62C66" w:rsidRPr="00573F80" w:rsidRDefault="00C62C66" w:rsidP="00350799">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C84421">
              <w:rPr>
                <w:rFonts w:ascii="Arial" w:hAnsi="Arial" w:cs="Arial"/>
              </w:rPr>
              <w:t>20</w:t>
            </w:r>
            <w:r w:rsidR="004062C5">
              <w:rPr>
                <w:rFonts w:ascii="Arial" w:hAnsi="Arial" w:cs="Arial"/>
              </w:rPr>
              <w:t>.</w:t>
            </w:r>
          </w:p>
          <w:p w:rsidR="0074706E" w:rsidRPr="00573F80" w:rsidRDefault="0074706E" w:rsidP="00350799">
            <w:pPr>
              <w:widowControl w:val="0"/>
              <w:outlineLvl w:val="0"/>
              <w:rPr>
                <w:rFonts w:ascii="Arial" w:hAnsi="Arial" w:cs="Arial"/>
              </w:rPr>
            </w:pPr>
          </w:p>
        </w:tc>
      </w:tr>
      <w:tr w:rsidR="00C62C66" w:rsidRPr="00573F80" w:rsidTr="00C21741">
        <w:trPr>
          <w:cantSplit/>
          <w:tblHeader/>
        </w:trPr>
        <w:tc>
          <w:tcPr>
            <w:tcW w:w="3063" w:type="dxa"/>
          </w:tcPr>
          <w:p w:rsidR="00C62C66" w:rsidRPr="00573F80" w:rsidRDefault="00817438" w:rsidP="006B75AB">
            <w:pPr>
              <w:widowControl w:val="0"/>
              <w:ind w:right="33"/>
              <w:outlineLvl w:val="0"/>
              <w:rPr>
                <w:rFonts w:ascii="Arial" w:hAnsi="Arial" w:cs="Arial"/>
              </w:rPr>
            </w:pPr>
            <w:r w:rsidRPr="00573F80">
              <w:rPr>
                <w:rFonts w:ascii="Arial" w:hAnsi="Arial" w:cs="Arial"/>
              </w:rPr>
              <w:lastRenderedPageBreak/>
              <w:t>Splints and Casting Supplies</w:t>
            </w:r>
          </w:p>
          <w:p w:rsidR="008F22B9" w:rsidRPr="00573F80" w:rsidRDefault="008F22B9" w:rsidP="006B75AB">
            <w:pPr>
              <w:widowControl w:val="0"/>
              <w:ind w:right="33"/>
              <w:outlineLvl w:val="0"/>
              <w:rPr>
                <w:rFonts w:ascii="Arial" w:hAnsi="Arial" w:cs="Arial"/>
              </w:rPr>
            </w:pPr>
          </w:p>
        </w:tc>
        <w:tc>
          <w:tcPr>
            <w:tcW w:w="5433" w:type="dxa"/>
          </w:tcPr>
          <w:p w:rsidR="00C62C66" w:rsidRPr="00573F80" w:rsidRDefault="00FE3ACB" w:rsidP="0066555A">
            <w:pPr>
              <w:widowControl w:val="0"/>
              <w:outlineLvl w:val="0"/>
              <w:rPr>
                <w:rFonts w:ascii="Arial" w:hAnsi="Arial" w:cs="Arial"/>
              </w:rPr>
            </w:pPr>
            <w:r w:rsidRPr="00573F80">
              <w:rPr>
                <w:rFonts w:ascii="Arial" w:hAnsi="Arial" w:cs="Arial"/>
              </w:rPr>
              <w:t xml:space="preserve">Sets </w:t>
            </w:r>
            <w:r w:rsidR="00765166" w:rsidRPr="00573F80">
              <w:rPr>
                <w:rFonts w:ascii="Arial" w:hAnsi="Arial" w:cs="Arial"/>
              </w:rPr>
              <w:t>forth reference to the Durable Medical Equipment, Prosth</w:t>
            </w:r>
            <w:r w:rsidR="0042498C" w:rsidRPr="00573F80">
              <w:rPr>
                <w:rFonts w:ascii="Arial" w:hAnsi="Arial" w:cs="Arial"/>
              </w:rPr>
              <w:t>et</w:t>
            </w:r>
            <w:r w:rsidR="00765166" w:rsidRPr="00573F80">
              <w:rPr>
                <w:rFonts w:ascii="Arial" w:hAnsi="Arial" w:cs="Arial"/>
              </w:rPr>
              <w:t>ics, Orthotics, Supplies fee schedule</w:t>
            </w:r>
            <w:r w:rsidR="0042498C" w:rsidRPr="00573F80">
              <w:rPr>
                <w:rFonts w:ascii="Arial" w:hAnsi="Arial" w:cs="Arial"/>
              </w:rPr>
              <w:t xml:space="preserve"> applicable to the date of service</w:t>
            </w:r>
            <w:r w:rsidR="00C84421">
              <w:rPr>
                <w:rFonts w:ascii="Arial" w:hAnsi="Arial" w:cs="Arial"/>
              </w:rPr>
              <w:t>;</w:t>
            </w:r>
            <w:r w:rsidR="00765166" w:rsidRPr="00573F80">
              <w:rPr>
                <w:rFonts w:ascii="Arial" w:hAnsi="Arial" w:cs="Arial"/>
              </w:rPr>
              <w:t xml:space="preserve"> </w:t>
            </w:r>
            <w:r w:rsidR="00992E6E" w:rsidRPr="00573F80">
              <w:rPr>
                <w:rFonts w:ascii="Arial" w:hAnsi="Arial" w:cs="Arial"/>
              </w:rPr>
              <w:t>reference is</w:t>
            </w:r>
            <w:r w:rsidR="00765166" w:rsidRPr="00573F80">
              <w:rPr>
                <w:rFonts w:ascii="Arial" w:hAnsi="Arial" w:cs="Arial"/>
              </w:rPr>
              <w:t xml:space="preserve"> unchanged from 201</w:t>
            </w:r>
            <w:r w:rsidR="00C84421">
              <w:rPr>
                <w:rFonts w:ascii="Arial" w:hAnsi="Arial" w:cs="Arial"/>
              </w:rPr>
              <w:t>9</w:t>
            </w:r>
            <w:r w:rsidR="00765166" w:rsidRPr="00573F80">
              <w:rPr>
                <w:rFonts w:ascii="Arial" w:hAnsi="Arial" w:cs="Arial"/>
              </w:rPr>
              <w:t>.</w:t>
            </w:r>
          </w:p>
          <w:p w:rsidR="0074706E" w:rsidRPr="00573F80" w:rsidRDefault="0074706E" w:rsidP="0066555A">
            <w:pPr>
              <w:widowControl w:val="0"/>
              <w:outlineLvl w:val="0"/>
              <w:rPr>
                <w:rFonts w:ascii="Arial" w:hAnsi="Arial" w:cs="Arial"/>
                <w:highlight w:val="yellow"/>
              </w:rPr>
            </w:pPr>
          </w:p>
        </w:tc>
      </w:tr>
      <w:tr w:rsidR="00C62C66" w:rsidRPr="00573F80" w:rsidTr="00C21741">
        <w:trPr>
          <w:cantSplit/>
          <w:tblHeader/>
        </w:trPr>
        <w:tc>
          <w:tcPr>
            <w:tcW w:w="3063" w:type="dxa"/>
          </w:tcPr>
          <w:p w:rsidR="00C62C66" w:rsidRPr="00573F80" w:rsidRDefault="008F22B9" w:rsidP="006B75AB">
            <w:pPr>
              <w:widowControl w:val="0"/>
              <w:ind w:right="33"/>
              <w:outlineLvl w:val="0"/>
              <w:rPr>
                <w:rFonts w:ascii="Arial" w:hAnsi="Arial" w:cs="Arial"/>
              </w:rPr>
            </w:pPr>
            <w:r w:rsidRPr="00573F80">
              <w:rPr>
                <w:rFonts w:ascii="Arial" w:hAnsi="Arial" w:cs="Arial"/>
              </w:rPr>
              <w:t>The 1995 Documentation Guidelines for Evaluation &amp; Management Services</w:t>
            </w:r>
          </w:p>
          <w:p w:rsidR="008F22B9" w:rsidRPr="00573F80" w:rsidRDefault="008F22B9" w:rsidP="006B75AB">
            <w:pPr>
              <w:widowControl w:val="0"/>
              <w:ind w:right="33"/>
              <w:outlineLvl w:val="0"/>
              <w:rPr>
                <w:rFonts w:ascii="Arial" w:hAnsi="Arial" w:cs="Arial"/>
              </w:rPr>
            </w:pPr>
          </w:p>
        </w:tc>
        <w:tc>
          <w:tcPr>
            <w:tcW w:w="5433" w:type="dxa"/>
          </w:tcPr>
          <w:p w:rsidR="00C62C66" w:rsidRPr="00573F80" w:rsidRDefault="00B0327D" w:rsidP="006B75AB">
            <w:pPr>
              <w:widowControl w:val="0"/>
              <w:outlineLvl w:val="0"/>
              <w:rPr>
                <w:rFonts w:ascii="Arial" w:hAnsi="Arial" w:cs="Arial"/>
              </w:rPr>
            </w:pPr>
            <w:r w:rsidRPr="00573F80">
              <w:rPr>
                <w:rFonts w:ascii="Arial" w:hAnsi="Arial" w:cs="Arial"/>
              </w:rPr>
              <w:t>Sets forth reference to the 1995 Documentation Guidelines web page, which is unchanged from 201</w:t>
            </w:r>
            <w:r w:rsidR="00C84421">
              <w:rPr>
                <w:rFonts w:ascii="Arial" w:hAnsi="Arial" w:cs="Arial"/>
              </w:rPr>
              <w:t>9</w:t>
            </w:r>
            <w:r w:rsidRPr="00573F80">
              <w:rPr>
                <w:rFonts w:ascii="Arial" w:hAnsi="Arial" w:cs="Arial"/>
              </w:rPr>
              <w:t>.</w:t>
            </w:r>
          </w:p>
          <w:p w:rsidR="00B0327D" w:rsidRPr="00573F80" w:rsidRDefault="00B0327D" w:rsidP="006B75AB">
            <w:pPr>
              <w:widowControl w:val="0"/>
              <w:outlineLvl w:val="0"/>
              <w:rPr>
                <w:rFonts w:ascii="Arial" w:hAnsi="Arial" w:cs="Arial"/>
              </w:rPr>
            </w:pPr>
          </w:p>
        </w:tc>
      </w:tr>
      <w:tr w:rsidR="008F22B9" w:rsidRPr="00573F80" w:rsidTr="00C21741">
        <w:trPr>
          <w:cantSplit/>
          <w:tblHeader/>
        </w:trPr>
        <w:tc>
          <w:tcPr>
            <w:tcW w:w="3063" w:type="dxa"/>
          </w:tcPr>
          <w:p w:rsidR="008F22B9" w:rsidRPr="00573F80" w:rsidRDefault="008F22B9" w:rsidP="006B75AB">
            <w:pPr>
              <w:widowControl w:val="0"/>
              <w:ind w:right="33"/>
              <w:outlineLvl w:val="0"/>
              <w:rPr>
                <w:rFonts w:ascii="Arial" w:hAnsi="Arial" w:cs="Arial"/>
              </w:rPr>
            </w:pPr>
            <w:r w:rsidRPr="00573F80">
              <w:rPr>
                <w:rFonts w:ascii="Arial" w:hAnsi="Arial" w:cs="Arial"/>
              </w:rPr>
              <w:t>The 1997 Documentation Guidelines for Evaluation and Management Services</w:t>
            </w:r>
          </w:p>
        </w:tc>
        <w:tc>
          <w:tcPr>
            <w:tcW w:w="5433" w:type="dxa"/>
          </w:tcPr>
          <w:p w:rsidR="000F418C" w:rsidRPr="00573F80" w:rsidRDefault="00B0327D" w:rsidP="00C84421">
            <w:pPr>
              <w:widowControl w:val="0"/>
              <w:outlineLvl w:val="0"/>
              <w:rPr>
                <w:rFonts w:ascii="Arial" w:hAnsi="Arial" w:cs="Arial"/>
              </w:rPr>
            </w:pPr>
            <w:r w:rsidRPr="00573F80">
              <w:rPr>
                <w:rFonts w:ascii="Arial" w:hAnsi="Arial" w:cs="Arial"/>
              </w:rPr>
              <w:t>Sets forth reference to the 1997 Documentation Guidelines web page, which is unchanged from 201</w:t>
            </w:r>
            <w:r w:rsidR="00C84421">
              <w:rPr>
                <w:rFonts w:ascii="Arial" w:hAnsi="Arial" w:cs="Arial"/>
              </w:rPr>
              <w:t>9</w:t>
            </w:r>
            <w:r w:rsidRPr="00573F80">
              <w:rPr>
                <w:rFonts w:ascii="Arial" w:hAnsi="Arial" w:cs="Arial"/>
              </w:rPr>
              <w:t>.</w:t>
            </w:r>
          </w:p>
        </w:tc>
      </w:tr>
    </w:tbl>
    <w:p w:rsidR="006D580C" w:rsidRPr="002D5B33" w:rsidRDefault="006D580C" w:rsidP="002D5B33">
      <w:pPr>
        <w:pStyle w:val="Heading2"/>
        <w:spacing w:after="120"/>
        <w:rPr>
          <w:rFonts w:ascii="Arial" w:hAnsi="Arial" w:cs="Arial"/>
          <w:sz w:val="24"/>
          <w:szCs w:val="24"/>
        </w:rPr>
      </w:pPr>
      <w:r w:rsidRPr="002D5B33">
        <w:rPr>
          <w:rFonts w:ascii="Arial" w:hAnsi="Arial" w:cs="Arial"/>
          <w:sz w:val="24"/>
          <w:szCs w:val="24"/>
        </w:rPr>
        <w:t>Adjustment Factors – Updating the Conversion Factors</w:t>
      </w:r>
    </w:p>
    <w:p w:rsidR="006D580C" w:rsidRDefault="006D580C" w:rsidP="006D580C">
      <w:pPr>
        <w:rPr>
          <w:rFonts w:ascii="Arial" w:hAnsi="Arial" w:cs="Arial"/>
          <w:b/>
        </w:rPr>
      </w:pPr>
      <w:r>
        <w:rPr>
          <w:rFonts w:ascii="Arial" w:hAnsi="Arial" w:cs="Arial"/>
          <w:b/>
        </w:rPr>
        <w:t>Conversion Factor for Services Other than Anesthesia</w:t>
      </w:r>
    </w:p>
    <w:p w:rsidR="006D580C" w:rsidRDefault="006D580C" w:rsidP="002D5B33">
      <w:pPr>
        <w:spacing w:before="240" w:after="240"/>
        <w:rPr>
          <w:rFonts w:ascii="Arial" w:hAnsi="Arial" w:cs="Arial"/>
        </w:rPr>
      </w:pPr>
      <w:r>
        <w:rPr>
          <w:rFonts w:ascii="Arial" w:hAnsi="Arial" w:cs="Arial"/>
        </w:rPr>
        <w:t>The 2020 conversion factor for services other than anesthesia is updated pursuant to Labor Code section 5307.1, subdivision (g)(1)(A)(iii)</w:t>
      </w:r>
      <w:r w:rsidRPr="00C945F0">
        <w:rPr>
          <w:rFonts w:ascii="Arial" w:hAnsi="Arial" w:cs="Arial"/>
        </w:rPr>
        <w:t xml:space="preserve"> </w:t>
      </w:r>
      <w:r>
        <w:rPr>
          <w:rFonts w:ascii="Arial" w:hAnsi="Arial" w:cs="Arial"/>
        </w:rPr>
        <w:t>and title 8, CCR, section 9789.12.5, subdivision (c).  Title 8, CCR, section 9789.12.5, subdivision (c) states:</w:t>
      </w:r>
    </w:p>
    <w:p w:rsidR="006D580C" w:rsidRPr="00CC39FF" w:rsidRDefault="006D580C" w:rsidP="006D580C">
      <w:pPr>
        <w:ind w:left="360"/>
        <w:rPr>
          <w:rFonts w:ascii="Arial" w:hAnsi="Arial" w:cs="Arial"/>
        </w:rPr>
      </w:pPr>
      <w:r>
        <w:rPr>
          <w:rFonts w:ascii="Arial" w:hAnsi="Arial" w:cs="Arial"/>
        </w:rPr>
        <w:t>“</w:t>
      </w:r>
      <w:r w:rsidRPr="00CC39FF">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r>
        <w:rPr>
          <w:rFonts w:ascii="Arial" w:hAnsi="Arial" w:cs="Arial"/>
        </w:rPr>
        <w:t>”</w:t>
      </w:r>
    </w:p>
    <w:p w:rsidR="006D580C" w:rsidRPr="00573F80" w:rsidRDefault="006D580C" w:rsidP="002D5B33">
      <w:pPr>
        <w:spacing w:before="240"/>
        <w:rPr>
          <w:rFonts w:ascii="Arial" w:hAnsi="Arial" w:cs="Arial"/>
        </w:rPr>
      </w:pPr>
      <w:r w:rsidRPr="00573F80">
        <w:rPr>
          <w:rFonts w:ascii="Arial" w:hAnsi="Arial" w:cs="Arial"/>
        </w:rPr>
        <w:t>The 20</w:t>
      </w:r>
      <w:r>
        <w:rPr>
          <w:rFonts w:ascii="Arial" w:hAnsi="Arial" w:cs="Arial"/>
        </w:rPr>
        <w:t>20</w:t>
      </w:r>
      <w:r w:rsidRPr="00573F80">
        <w:rPr>
          <w:rFonts w:ascii="Arial" w:hAnsi="Arial" w:cs="Arial"/>
        </w:rPr>
        <w:t xml:space="preserve"> annual increase in the Medicare Economic Index (MEI) is 1.</w:t>
      </w:r>
      <w:r>
        <w:rPr>
          <w:rFonts w:ascii="Arial" w:hAnsi="Arial" w:cs="Arial"/>
        </w:rPr>
        <w:t>9</w:t>
      </w:r>
      <w:r w:rsidRPr="00573F80">
        <w:rPr>
          <w:rFonts w:ascii="Arial" w:hAnsi="Arial" w:cs="Arial"/>
        </w:rPr>
        <w:t>%. (CY 2020 Medicare Physician Fee Schedule Final Rule, CMS-1715-F (</w:t>
      </w:r>
      <w:r>
        <w:rPr>
          <w:rFonts w:ascii="Arial" w:hAnsi="Arial" w:cs="Arial"/>
        </w:rPr>
        <w:t>84</w:t>
      </w:r>
      <w:r w:rsidRPr="00573F80">
        <w:rPr>
          <w:rFonts w:ascii="Arial" w:hAnsi="Arial" w:cs="Arial"/>
        </w:rPr>
        <w:t xml:space="preserve"> Fed. Reg. </w:t>
      </w:r>
      <w:r>
        <w:rPr>
          <w:rFonts w:ascii="Arial" w:hAnsi="Arial" w:cs="Arial"/>
        </w:rPr>
        <w:t xml:space="preserve">62629.)) </w:t>
      </w:r>
      <w:r w:rsidRPr="00573F80">
        <w:rPr>
          <w:rFonts w:ascii="Arial" w:hAnsi="Arial" w:cs="Arial"/>
        </w:rPr>
        <w:t>The MEI is an input price index that accounts for annual changes in the various resources involved in providing physician services.</w:t>
      </w:r>
    </w:p>
    <w:p w:rsidR="006D580C" w:rsidRDefault="006D580C" w:rsidP="002D5B33">
      <w:pPr>
        <w:tabs>
          <w:tab w:val="num" w:pos="2160"/>
        </w:tabs>
        <w:spacing w:before="240"/>
        <w:rPr>
          <w:rFonts w:ascii="Arial" w:hAnsi="Arial" w:cs="Arial"/>
        </w:rPr>
      </w:pPr>
      <w:r w:rsidRPr="00573F80">
        <w:rPr>
          <w:rFonts w:ascii="Arial" w:hAnsi="Arial" w:cs="Arial"/>
        </w:rPr>
        <w:t>The 20</w:t>
      </w:r>
      <w:r>
        <w:rPr>
          <w:rFonts w:ascii="Arial" w:hAnsi="Arial" w:cs="Arial"/>
        </w:rPr>
        <w:t>20</w:t>
      </w:r>
      <w:r w:rsidRPr="00573F80">
        <w:rPr>
          <w:rFonts w:ascii="Arial" w:hAnsi="Arial" w:cs="Arial"/>
        </w:rPr>
        <w:t xml:space="preserve"> Relative Value Scale (RVS) adjustment factor</w:t>
      </w:r>
      <w:r w:rsidRPr="00105A03">
        <w:rPr>
          <w:rFonts w:ascii="Arial" w:hAnsi="Arial" w:cs="Arial"/>
        </w:rPr>
        <w:t xml:space="preserve"> for all services other than anesthesia for 2020 is the Medicare 2020 RVU budget neutrality adjustment (</w:t>
      </w:r>
      <w:r>
        <w:rPr>
          <w:rFonts w:ascii="Arial" w:hAnsi="Arial" w:cs="Arial"/>
        </w:rPr>
        <w:t>1</w:t>
      </w:r>
      <w:r w:rsidRPr="00105A03">
        <w:rPr>
          <w:rFonts w:ascii="Arial" w:hAnsi="Arial" w:cs="Arial"/>
        </w:rPr>
        <w:t>.</w:t>
      </w:r>
      <w:r>
        <w:rPr>
          <w:rFonts w:ascii="Arial" w:hAnsi="Arial" w:cs="Arial"/>
        </w:rPr>
        <w:t>0014</w:t>
      </w:r>
      <w:r w:rsidRPr="00105A03">
        <w:rPr>
          <w:rFonts w:ascii="Arial" w:hAnsi="Arial" w:cs="Arial"/>
        </w:rPr>
        <w:t>) (</w:t>
      </w:r>
      <w:r w:rsidRPr="00573F80">
        <w:rPr>
          <w:rFonts w:ascii="Arial" w:hAnsi="Arial" w:cs="Arial"/>
        </w:rPr>
        <w:t>CY 2020 Medicare Physician Fee Schedule Final Rule, CMS-1715-F</w:t>
      </w:r>
      <w:r w:rsidRPr="00105A03">
        <w:rPr>
          <w:rFonts w:ascii="Arial" w:hAnsi="Arial" w:cs="Arial"/>
        </w:rPr>
        <w:t xml:space="preserve">, Table </w:t>
      </w:r>
      <w:r>
        <w:rPr>
          <w:rFonts w:ascii="Arial" w:hAnsi="Arial" w:cs="Arial"/>
        </w:rPr>
        <w:t>117</w:t>
      </w:r>
      <w:r w:rsidRPr="00105A03">
        <w:rPr>
          <w:rFonts w:ascii="Arial" w:hAnsi="Arial" w:cs="Arial"/>
        </w:rPr>
        <w:t>).</w:t>
      </w:r>
    </w:p>
    <w:p w:rsidR="006D580C" w:rsidRDefault="006D580C" w:rsidP="002D5B33">
      <w:pPr>
        <w:tabs>
          <w:tab w:val="num" w:pos="2160"/>
        </w:tabs>
        <w:spacing w:before="240"/>
        <w:rPr>
          <w:rFonts w:ascii="Arial" w:hAnsi="Arial" w:cs="Arial"/>
        </w:rPr>
      </w:pPr>
      <w:r w:rsidRPr="00CE0D47">
        <w:rPr>
          <w:rFonts w:ascii="Arial" w:hAnsi="Arial" w:cs="Arial"/>
        </w:rPr>
        <w:t xml:space="preserve">The “Statutory Update Factor” of 0.00 percent in Table 117 of CY 2020 Medicare Physician Fee Schedule Final Rule, CMS-1715-F is not applicable because Labor Code §5307.1(g)(1)(A)(iii) specifies that the physician fee schedule </w:t>
      </w:r>
      <w:r>
        <w:rPr>
          <w:rFonts w:ascii="Arial" w:hAnsi="Arial" w:cs="Arial"/>
        </w:rPr>
        <w:t xml:space="preserve">annual </w:t>
      </w:r>
      <w:r w:rsidRPr="00CE0D47">
        <w:rPr>
          <w:rFonts w:ascii="Arial" w:hAnsi="Arial" w:cs="Arial"/>
        </w:rPr>
        <w:t xml:space="preserve">updates are to be based upon the Medicare Economic Index and </w:t>
      </w:r>
      <w:r>
        <w:rPr>
          <w:rFonts w:ascii="Arial" w:hAnsi="Arial" w:cs="Arial"/>
        </w:rPr>
        <w:t>any</w:t>
      </w:r>
      <w:r w:rsidRPr="00CE0D47">
        <w:rPr>
          <w:rFonts w:ascii="Arial" w:hAnsi="Arial" w:cs="Arial"/>
        </w:rPr>
        <w:t xml:space="preserve"> relative value scale adjustment factor.</w:t>
      </w:r>
    </w:p>
    <w:p w:rsidR="006D580C" w:rsidRDefault="006D580C" w:rsidP="002D5B33">
      <w:pPr>
        <w:tabs>
          <w:tab w:val="num" w:pos="2160"/>
        </w:tabs>
        <w:spacing w:before="240"/>
        <w:rPr>
          <w:rFonts w:ascii="Arial" w:hAnsi="Arial" w:cs="Arial"/>
        </w:rPr>
      </w:pPr>
      <w:r>
        <w:rPr>
          <w:rFonts w:ascii="Arial" w:hAnsi="Arial" w:cs="Arial"/>
        </w:rPr>
        <w:t>The 2020 CF for Services Other than Anesthesia is calculated as follows:</w:t>
      </w:r>
    </w:p>
    <w:p w:rsidR="006D580C" w:rsidRDefault="006D580C" w:rsidP="006D580C">
      <w:pPr>
        <w:tabs>
          <w:tab w:val="num" w:pos="2160"/>
        </w:tabs>
        <w:ind w:right="-540"/>
        <w:rPr>
          <w:rFonts w:ascii="Arial" w:hAnsi="Arial" w:cs="Arial"/>
        </w:rPr>
      </w:pPr>
      <w:r>
        <w:rPr>
          <w:rFonts w:ascii="Arial" w:hAnsi="Arial" w:cs="Arial"/>
        </w:rPr>
        <w:lastRenderedPageBreak/>
        <w:t>$45.8513 (2019 CF) * 1.019 (MEI) * 1.0014 (RVU Budget Neutrality Adjustment) = $46.7879</w:t>
      </w:r>
    </w:p>
    <w:p w:rsidR="006D580C" w:rsidRPr="00656C52" w:rsidRDefault="006D580C" w:rsidP="00656C52">
      <w:pPr>
        <w:pStyle w:val="Heading2"/>
        <w:spacing w:before="240" w:after="120"/>
        <w:rPr>
          <w:rFonts w:ascii="Arial" w:hAnsi="Arial" w:cs="Arial"/>
          <w:sz w:val="24"/>
          <w:szCs w:val="24"/>
        </w:rPr>
      </w:pPr>
      <w:r w:rsidRPr="00656C52">
        <w:rPr>
          <w:rFonts w:ascii="Arial" w:hAnsi="Arial" w:cs="Arial"/>
          <w:sz w:val="24"/>
          <w:szCs w:val="24"/>
        </w:rPr>
        <w:t>Conversion Factor for Anesthesia Services</w:t>
      </w:r>
    </w:p>
    <w:p w:rsidR="006D580C" w:rsidRDefault="006D580C" w:rsidP="00656C52">
      <w:pPr>
        <w:spacing w:after="240"/>
        <w:rPr>
          <w:rFonts w:ascii="Arial" w:hAnsi="Arial" w:cs="Arial"/>
        </w:rPr>
      </w:pPr>
      <w:r>
        <w:rPr>
          <w:rFonts w:ascii="Arial" w:hAnsi="Arial" w:cs="Arial"/>
        </w:rPr>
        <w:t>The 2020 conversion factor for anesthesia services (before Geographic Practice Cost Index adjustment) is updated pursuant to Labor Code section 5307.1, subdivision (g)(1)(A)(iii)</w:t>
      </w:r>
      <w:r w:rsidRPr="00C945F0">
        <w:rPr>
          <w:rFonts w:ascii="Arial" w:hAnsi="Arial" w:cs="Arial"/>
        </w:rPr>
        <w:t xml:space="preserve"> </w:t>
      </w:r>
      <w:r>
        <w:rPr>
          <w:rFonts w:ascii="Arial" w:hAnsi="Arial" w:cs="Arial"/>
        </w:rPr>
        <w:t>and title 8, CCR, section 9789.12.5, subdivision (c).  Title 8, CCR, section 9789.12.5, subdivision (c) states:</w:t>
      </w:r>
    </w:p>
    <w:p w:rsidR="006D580C" w:rsidRPr="00CC39FF" w:rsidRDefault="006D580C" w:rsidP="006D580C">
      <w:pPr>
        <w:ind w:left="360"/>
        <w:rPr>
          <w:rFonts w:ascii="Arial" w:hAnsi="Arial" w:cs="Arial"/>
        </w:rPr>
      </w:pPr>
      <w:r>
        <w:rPr>
          <w:rFonts w:ascii="Arial" w:hAnsi="Arial" w:cs="Arial"/>
        </w:rPr>
        <w:t>“</w:t>
      </w:r>
      <w:r w:rsidRPr="00CC39FF">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r>
        <w:rPr>
          <w:rFonts w:ascii="Arial" w:hAnsi="Arial" w:cs="Arial"/>
        </w:rPr>
        <w:t>”</w:t>
      </w:r>
    </w:p>
    <w:p w:rsidR="006D580C" w:rsidRPr="00573F80" w:rsidRDefault="006D580C" w:rsidP="00656C52">
      <w:pPr>
        <w:spacing w:before="240"/>
        <w:rPr>
          <w:rFonts w:ascii="Arial" w:hAnsi="Arial" w:cs="Arial"/>
        </w:rPr>
      </w:pPr>
      <w:r w:rsidRPr="00573F80">
        <w:rPr>
          <w:rFonts w:ascii="Arial" w:hAnsi="Arial" w:cs="Arial"/>
        </w:rPr>
        <w:t>The 20</w:t>
      </w:r>
      <w:r>
        <w:rPr>
          <w:rFonts w:ascii="Arial" w:hAnsi="Arial" w:cs="Arial"/>
        </w:rPr>
        <w:t>20</w:t>
      </w:r>
      <w:r w:rsidRPr="00573F80">
        <w:rPr>
          <w:rFonts w:ascii="Arial" w:hAnsi="Arial" w:cs="Arial"/>
        </w:rPr>
        <w:t xml:space="preserve"> annual increase in the Medicare Economic Index (MEI) is 1.</w:t>
      </w:r>
      <w:r>
        <w:rPr>
          <w:rFonts w:ascii="Arial" w:hAnsi="Arial" w:cs="Arial"/>
        </w:rPr>
        <w:t>9</w:t>
      </w:r>
      <w:r w:rsidRPr="00573F80">
        <w:rPr>
          <w:rFonts w:ascii="Arial" w:hAnsi="Arial" w:cs="Arial"/>
        </w:rPr>
        <w:t>%. (CY 2020 Medicare Physician Fee Schedule Final Rule, CMS-1715-F (</w:t>
      </w:r>
      <w:r>
        <w:rPr>
          <w:rFonts w:ascii="Arial" w:hAnsi="Arial" w:cs="Arial"/>
        </w:rPr>
        <w:t>84</w:t>
      </w:r>
      <w:r w:rsidRPr="00573F80">
        <w:rPr>
          <w:rFonts w:ascii="Arial" w:hAnsi="Arial" w:cs="Arial"/>
        </w:rPr>
        <w:t xml:space="preserve"> Fed. Reg. </w:t>
      </w:r>
      <w:r>
        <w:rPr>
          <w:rFonts w:ascii="Arial" w:hAnsi="Arial" w:cs="Arial"/>
        </w:rPr>
        <w:t xml:space="preserve">62629.)) </w:t>
      </w:r>
      <w:r w:rsidRPr="00573F80">
        <w:rPr>
          <w:rFonts w:ascii="Arial" w:hAnsi="Arial" w:cs="Arial"/>
        </w:rPr>
        <w:t>The MEI is an input price index that accounts for annual changes in the various resources involved in providing physician services.</w:t>
      </w:r>
    </w:p>
    <w:p w:rsidR="006D580C" w:rsidRDefault="006D580C" w:rsidP="00656C52">
      <w:pPr>
        <w:tabs>
          <w:tab w:val="num" w:pos="2160"/>
        </w:tabs>
        <w:spacing w:before="240"/>
        <w:rPr>
          <w:rFonts w:ascii="Arial" w:hAnsi="Arial" w:cs="Arial"/>
        </w:rPr>
      </w:pPr>
      <w:r w:rsidRPr="00573F80">
        <w:rPr>
          <w:rFonts w:ascii="Arial" w:hAnsi="Arial" w:cs="Arial"/>
        </w:rPr>
        <w:t>The 20</w:t>
      </w:r>
      <w:r>
        <w:rPr>
          <w:rFonts w:ascii="Arial" w:hAnsi="Arial" w:cs="Arial"/>
        </w:rPr>
        <w:t>20</w:t>
      </w:r>
      <w:r w:rsidRPr="00573F80">
        <w:rPr>
          <w:rFonts w:ascii="Arial" w:hAnsi="Arial" w:cs="Arial"/>
        </w:rPr>
        <w:t xml:space="preserve"> Relative Value Scale (RVS) adjustment factor</w:t>
      </w:r>
      <w:r>
        <w:rPr>
          <w:rFonts w:ascii="Arial" w:hAnsi="Arial" w:cs="Arial"/>
        </w:rPr>
        <w:t>s</w:t>
      </w:r>
      <w:r w:rsidRPr="00105A03">
        <w:rPr>
          <w:rFonts w:ascii="Arial" w:hAnsi="Arial" w:cs="Arial"/>
        </w:rPr>
        <w:t xml:space="preserve"> for anesthesia services for 2020 </w:t>
      </w:r>
      <w:r>
        <w:rPr>
          <w:rFonts w:ascii="Arial" w:hAnsi="Arial" w:cs="Arial"/>
        </w:rPr>
        <w:t>are</w:t>
      </w:r>
      <w:r w:rsidRPr="00105A03">
        <w:rPr>
          <w:rFonts w:ascii="Arial" w:hAnsi="Arial" w:cs="Arial"/>
        </w:rPr>
        <w:t xml:space="preserve"> the Medicare 2020 RVU budget neutrality adjustment (</w:t>
      </w:r>
      <w:r>
        <w:rPr>
          <w:rFonts w:ascii="Arial" w:hAnsi="Arial" w:cs="Arial"/>
        </w:rPr>
        <w:t>1</w:t>
      </w:r>
      <w:r w:rsidRPr="00105A03">
        <w:rPr>
          <w:rFonts w:ascii="Arial" w:hAnsi="Arial" w:cs="Arial"/>
        </w:rPr>
        <w:t>.</w:t>
      </w:r>
      <w:r>
        <w:rPr>
          <w:rFonts w:ascii="Arial" w:hAnsi="Arial" w:cs="Arial"/>
        </w:rPr>
        <w:t>0014</w:t>
      </w:r>
      <w:r w:rsidRPr="00105A03">
        <w:rPr>
          <w:rFonts w:ascii="Arial" w:hAnsi="Arial" w:cs="Arial"/>
        </w:rPr>
        <w:t>)</w:t>
      </w:r>
      <w:r>
        <w:rPr>
          <w:rFonts w:ascii="Arial" w:hAnsi="Arial" w:cs="Arial"/>
        </w:rPr>
        <w:t xml:space="preserve"> and the 2020 Anesthesia Fee Schedule Practice Expense and Malpractice Adjustment (0.9954)</w:t>
      </w:r>
      <w:r w:rsidRPr="00105A03">
        <w:rPr>
          <w:rFonts w:ascii="Arial" w:hAnsi="Arial" w:cs="Arial"/>
        </w:rPr>
        <w:t xml:space="preserve"> (</w:t>
      </w:r>
      <w:r w:rsidRPr="00573F80">
        <w:rPr>
          <w:rFonts w:ascii="Arial" w:hAnsi="Arial" w:cs="Arial"/>
        </w:rPr>
        <w:t>CY 2020 Medicare Physician Fee Schedule Final Rule, CMS-1715-F</w:t>
      </w:r>
      <w:r w:rsidRPr="00105A03">
        <w:rPr>
          <w:rFonts w:ascii="Arial" w:hAnsi="Arial" w:cs="Arial"/>
        </w:rPr>
        <w:t xml:space="preserve">, Table </w:t>
      </w:r>
      <w:r>
        <w:rPr>
          <w:rFonts w:ascii="Arial" w:hAnsi="Arial" w:cs="Arial"/>
        </w:rPr>
        <w:t>118</w:t>
      </w:r>
      <w:r w:rsidRPr="00105A03">
        <w:rPr>
          <w:rFonts w:ascii="Arial" w:hAnsi="Arial" w:cs="Arial"/>
        </w:rPr>
        <w:t>).</w:t>
      </w:r>
    </w:p>
    <w:p w:rsidR="006D580C" w:rsidRDefault="006D580C" w:rsidP="00656C52">
      <w:pPr>
        <w:tabs>
          <w:tab w:val="num" w:pos="2160"/>
        </w:tabs>
        <w:spacing w:before="240"/>
        <w:rPr>
          <w:rFonts w:ascii="Arial" w:hAnsi="Arial" w:cs="Arial"/>
        </w:rPr>
      </w:pPr>
      <w:r w:rsidRPr="00CE0D47">
        <w:rPr>
          <w:rFonts w:ascii="Arial" w:hAnsi="Arial" w:cs="Arial"/>
        </w:rPr>
        <w:t>The “Statutory Update Factor” of 0.00 percent in Table 11</w:t>
      </w:r>
      <w:r>
        <w:rPr>
          <w:rFonts w:ascii="Arial" w:hAnsi="Arial" w:cs="Arial"/>
        </w:rPr>
        <w:t>8</w:t>
      </w:r>
      <w:r w:rsidRPr="00CE0D47">
        <w:rPr>
          <w:rFonts w:ascii="Arial" w:hAnsi="Arial" w:cs="Arial"/>
        </w:rPr>
        <w:t xml:space="preserve"> of CY 2020 Medicare Physician Fee Schedule Final Rule, CMS-1715-F is not applicable because Labor Code §5307.1(g)(1)(A)(iii) specifies that the physician fee schedule </w:t>
      </w:r>
      <w:r>
        <w:rPr>
          <w:rFonts w:ascii="Arial" w:hAnsi="Arial" w:cs="Arial"/>
        </w:rPr>
        <w:t xml:space="preserve">annual </w:t>
      </w:r>
      <w:r w:rsidRPr="00CE0D47">
        <w:rPr>
          <w:rFonts w:ascii="Arial" w:hAnsi="Arial" w:cs="Arial"/>
        </w:rPr>
        <w:t xml:space="preserve">updates are to be based upon the Medicare Economic Index and </w:t>
      </w:r>
      <w:r>
        <w:rPr>
          <w:rFonts w:ascii="Arial" w:hAnsi="Arial" w:cs="Arial"/>
        </w:rPr>
        <w:t>any</w:t>
      </w:r>
      <w:r w:rsidRPr="00CE0D47">
        <w:rPr>
          <w:rFonts w:ascii="Arial" w:hAnsi="Arial" w:cs="Arial"/>
        </w:rPr>
        <w:t xml:space="preserve"> relative value scale adjustment factor.</w:t>
      </w:r>
    </w:p>
    <w:p w:rsidR="006D580C" w:rsidRDefault="006D580C" w:rsidP="00656C52">
      <w:pPr>
        <w:tabs>
          <w:tab w:val="num" w:pos="2160"/>
        </w:tabs>
        <w:spacing w:before="240"/>
        <w:rPr>
          <w:rFonts w:ascii="Arial" w:hAnsi="Arial" w:cs="Arial"/>
        </w:rPr>
      </w:pPr>
      <w:r>
        <w:rPr>
          <w:rFonts w:ascii="Arial" w:hAnsi="Arial" w:cs="Arial"/>
        </w:rPr>
        <w:t>The 2020 CF for Anesthesia Services (before Geographic Practice Cost Index adjustment) is calculated as follows:</w:t>
      </w:r>
    </w:p>
    <w:p w:rsidR="006D580C" w:rsidRDefault="006D580C" w:rsidP="006D580C">
      <w:pPr>
        <w:tabs>
          <w:tab w:val="num" w:pos="2160"/>
        </w:tabs>
        <w:rPr>
          <w:rFonts w:ascii="Arial" w:hAnsi="Arial" w:cs="Arial"/>
        </w:rPr>
      </w:pPr>
      <w:r>
        <w:rPr>
          <w:rFonts w:ascii="Arial" w:hAnsi="Arial" w:cs="Arial"/>
        </w:rPr>
        <w:t>$27.6859 (2019 CF) * 1.019 (MEI) * 1.0014 (RVU Budget Neutrality Adjustment) * 0.9954 = $28.1215.</w:t>
      </w:r>
    </w:p>
    <w:p w:rsidR="006D580C" w:rsidRPr="00656C52" w:rsidRDefault="006D580C" w:rsidP="00656C52">
      <w:pPr>
        <w:pStyle w:val="Heading2"/>
        <w:spacing w:before="240" w:after="120"/>
        <w:rPr>
          <w:rFonts w:ascii="Arial" w:hAnsi="Arial" w:cs="Arial"/>
          <w:sz w:val="24"/>
          <w:szCs w:val="24"/>
        </w:rPr>
      </w:pPr>
      <w:proofErr w:type="spellStart"/>
      <w:r w:rsidRPr="00656C52">
        <w:rPr>
          <w:rFonts w:ascii="Arial" w:hAnsi="Arial" w:cs="Arial"/>
          <w:sz w:val="24"/>
          <w:szCs w:val="24"/>
        </w:rPr>
        <w:t>GPCI</w:t>
      </w:r>
      <w:proofErr w:type="spellEnd"/>
      <w:r w:rsidRPr="00656C52">
        <w:rPr>
          <w:rFonts w:ascii="Arial" w:hAnsi="Arial" w:cs="Arial"/>
          <w:sz w:val="24"/>
          <w:szCs w:val="24"/>
        </w:rPr>
        <w:t>-Adjusted Conversion Factors for Anesthesia Services – Section 9789.19.1 Table A for services on or after January 1, 2020</w:t>
      </w:r>
    </w:p>
    <w:p w:rsidR="006D580C" w:rsidRDefault="006D580C" w:rsidP="006D580C">
      <w:pPr>
        <w:tabs>
          <w:tab w:val="num" w:pos="2160"/>
        </w:tabs>
        <w:rPr>
          <w:rFonts w:ascii="Arial" w:hAnsi="Arial" w:cs="Arial"/>
        </w:rPr>
      </w:pPr>
      <w:r>
        <w:rPr>
          <w:rFonts w:ascii="Arial" w:hAnsi="Arial" w:cs="Arial"/>
        </w:rPr>
        <w:t xml:space="preserve">For anesthesia services the GPCI adjustments are incorporated into the anesthesia conversion factors. Table A adopted pursuant to section 9789.19.1 </w:t>
      </w:r>
      <w:r w:rsidRPr="008C20C2">
        <w:rPr>
          <w:rFonts w:ascii="Arial" w:hAnsi="Arial" w:cs="Arial"/>
        </w:rPr>
        <w:t>contains the anesthesia conversion factor</w:t>
      </w:r>
      <w:r>
        <w:rPr>
          <w:rFonts w:ascii="Arial" w:hAnsi="Arial" w:cs="Arial"/>
        </w:rPr>
        <w:t>s</w:t>
      </w:r>
      <w:r w:rsidRPr="008C20C2">
        <w:rPr>
          <w:rFonts w:ascii="Arial" w:hAnsi="Arial" w:cs="Arial"/>
        </w:rPr>
        <w:t xml:space="preserve"> adjusted by Medicare locality GPCIs and anesthesia shares for anesthesia services rendered on or after January 1, 20</w:t>
      </w:r>
      <w:r>
        <w:rPr>
          <w:rFonts w:ascii="Arial" w:hAnsi="Arial" w:cs="Arial"/>
        </w:rPr>
        <w:t>20</w:t>
      </w:r>
      <w:r w:rsidRPr="008C20C2">
        <w:rPr>
          <w:rFonts w:ascii="Arial" w:hAnsi="Arial" w:cs="Arial"/>
        </w:rPr>
        <w:t>.</w:t>
      </w:r>
      <w:r>
        <w:rPr>
          <w:rFonts w:ascii="Arial" w:hAnsi="Arial" w:cs="Arial"/>
        </w:rPr>
        <w:t xml:space="preserve"> The workers' compensation 2020</w:t>
      </w:r>
      <w:r w:rsidRPr="00573F80">
        <w:rPr>
          <w:rFonts w:ascii="Arial" w:hAnsi="Arial" w:cs="Arial"/>
        </w:rPr>
        <w:t xml:space="preserve"> Anesthesia Conversion Factor is 2</w:t>
      </w:r>
      <w:r>
        <w:rPr>
          <w:rFonts w:ascii="Arial" w:hAnsi="Arial" w:cs="Arial"/>
        </w:rPr>
        <w:t>8</w:t>
      </w:r>
      <w:r w:rsidRPr="00573F80">
        <w:rPr>
          <w:rFonts w:ascii="Arial" w:hAnsi="Arial" w:cs="Arial"/>
        </w:rPr>
        <w:t>.</w:t>
      </w:r>
      <w:r>
        <w:rPr>
          <w:rFonts w:ascii="Arial" w:hAnsi="Arial" w:cs="Arial"/>
        </w:rPr>
        <w:t>1215,</w:t>
      </w:r>
      <w:r w:rsidRPr="00573F80">
        <w:rPr>
          <w:rFonts w:ascii="Arial" w:hAnsi="Arial" w:cs="Arial"/>
        </w:rPr>
        <w:t xml:space="preserve"> adjusted for Medicare Economic Index inflation rate and Relative Value Scale Adjustment factors</w:t>
      </w:r>
      <w:r>
        <w:rPr>
          <w:rFonts w:ascii="Arial" w:hAnsi="Arial" w:cs="Arial"/>
        </w:rPr>
        <w:t>.</w:t>
      </w:r>
      <w:r w:rsidRPr="00573F80">
        <w:rPr>
          <w:rFonts w:ascii="Arial" w:hAnsi="Arial" w:cs="Arial"/>
        </w:rPr>
        <w:t xml:space="preserve"> </w:t>
      </w:r>
      <w:r>
        <w:rPr>
          <w:rFonts w:ascii="Arial" w:hAnsi="Arial" w:cs="Arial"/>
        </w:rPr>
        <w:t>T</w:t>
      </w:r>
      <w:r w:rsidRPr="00573F80">
        <w:rPr>
          <w:rFonts w:ascii="Arial" w:hAnsi="Arial" w:cs="Arial"/>
        </w:rPr>
        <w:t>he 20</w:t>
      </w:r>
      <w:r>
        <w:rPr>
          <w:rFonts w:ascii="Arial" w:hAnsi="Arial" w:cs="Arial"/>
        </w:rPr>
        <w:t>20</w:t>
      </w:r>
      <w:r w:rsidRPr="00573F80">
        <w:rPr>
          <w:rFonts w:ascii="Arial" w:hAnsi="Arial" w:cs="Arial"/>
        </w:rPr>
        <w:t xml:space="preserve"> Medicare Anesthesia Shares</w:t>
      </w:r>
      <w:r>
        <w:rPr>
          <w:rFonts w:ascii="Arial" w:hAnsi="Arial" w:cs="Arial"/>
        </w:rPr>
        <w:t xml:space="preserve"> </w:t>
      </w:r>
      <w:r w:rsidRPr="00573F80">
        <w:rPr>
          <w:rFonts w:ascii="Arial" w:hAnsi="Arial" w:cs="Arial"/>
        </w:rPr>
        <w:t xml:space="preserve">are applied to </w:t>
      </w:r>
      <w:r w:rsidRPr="00573F80">
        <w:rPr>
          <w:rFonts w:ascii="Arial" w:hAnsi="Arial" w:cs="Arial"/>
        </w:rPr>
        <w:lastRenderedPageBreak/>
        <w:t xml:space="preserve">the Work GPCI, Practice Expense GPCI, and Malpractice GPCI to derive the </w:t>
      </w:r>
      <w:r>
        <w:rPr>
          <w:rFonts w:ascii="Arial" w:hAnsi="Arial" w:cs="Arial"/>
        </w:rPr>
        <w:t>GPCI-</w:t>
      </w:r>
      <w:r w:rsidRPr="00573F80">
        <w:rPr>
          <w:rFonts w:ascii="Arial" w:hAnsi="Arial" w:cs="Arial"/>
        </w:rPr>
        <w:t>Adjusted Anesthesia Conversion Factors by locality.</w:t>
      </w:r>
      <w:r>
        <w:rPr>
          <w:rFonts w:ascii="Arial" w:hAnsi="Arial" w:cs="Arial"/>
        </w:rPr>
        <w:t xml:space="preserve"> The formula is as follows.</w:t>
      </w:r>
    </w:p>
    <w:p w:rsidR="006D580C" w:rsidRPr="00505BD1" w:rsidRDefault="006D580C" w:rsidP="00656C52">
      <w:pPr>
        <w:tabs>
          <w:tab w:val="num" w:pos="2160"/>
        </w:tabs>
        <w:spacing w:before="240"/>
        <w:rPr>
          <w:rFonts w:ascii="Arial" w:hAnsi="Arial" w:cs="Arial"/>
        </w:rPr>
      </w:pPr>
      <w:r w:rsidRPr="00505BD1">
        <w:rPr>
          <w:rFonts w:ascii="Arial" w:hAnsi="Arial" w:cs="Arial"/>
        </w:rPr>
        <w:t xml:space="preserve">[(Work </w:t>
      </w:r>
      <w:proofErr w:type="spellStart"/>
      <w:r w:rsidRPr="00505BD1">
        <w:rPr>
          <w:rFonts w:ascii="Arial" w:hAnsi="Arial" w:cs="Arial"/>
        </w:rPr>
        <w:t>GPCI</w:t>
      </w:r>
      <w:proofErr w:type="spellEnd"/>
      <w:r w:rsidRPr="00505BD1">
        <w:rPr>
          <w:rFonts w:ascii="Arial" w:hAnsi="Arial" w:cs="Arial"/>
        </w:rPr>
        <w:t xml:space="preserve"> by locality*Anesthesia Work Share) + (Practice Expense GPCI by locality*Anesthesia Practice Expense Share) + (Malpractice GPCI by locality*Anesthesia Malpractice Share)] </w:t>
      </w:r>
      <w:proofErr w:type="gramStart"/>
      <w:r w:rsidRPr="00505BD1">
        <w:rPr>
          <w:rFonts w:ascii="Arial" w:hAnsi="Arial" w:cs="Arial"/>
        </w:rPr>
        <w:t>* Anesthesia Conversion Factor].</w:t>
      </w:r>
      <w:proofErr w:type="gramEnd"/>
    </w:p>
    <w:p w:rsidR="006D580C" w:rsidRDefault="006D580C" w:rsidP="006D580C">
      <w:pPr>
        <w:tabs>
          <w:tab w:val="num" w:pos="2160"/>
        </w:tabs>
        <w:rPr>
          <w:rFonts w:ascii="Arial" w:hAnsi="Arial" w:cs="Arial"/>
        </w:rPr>
      </w:pPr>
      <w:r>
        <w:rPr>
          <w:rFonts w:ascii="Arial" w:hAnsi="Arial" w:cs="Arial"/>
        </w:rPr>
        <w:t>The 2020 Work GPCI, 2020 Practice Expense GPCI, 2020 Malpractice GPCI, and the anesthesia shares are obtained from the Medicare anesthesia document adopted in the Medicare Physician Fee Schedule Final Rule: CMS-1715-F_CY2020_ANES_locality adjusted CF (</w:t>
      </w:r>
      <w:hyperlink r:id="rId17" w:history="1">
        <w:r w:rsidRPr="00365225">
          <w:rPr>
            <w:rStyle w:val="Hyperlink"/>
            <w:rFonts w:cs="Arial"/>
          </w:rPr>
          <w:t>2020 Anesthesia Conversion Factors [ZIP]</w:t>
        </w:r>
      </w:hyperlink>
      <w:r>
        <w:rPr>
          <w:rFonts w:ascii="Arial" w:hAnsi="Arial" w:cs="Arial"/>
        </w:rPr>
        <w:t>.)</w:t>
      </w:r>
    </w:p>
    <w:p w:rsidR="006D580C" w:rsidRDefault="006D580C" w:rsidP="00656C52">
      <w:pPr>
        <w:tabs>
          <w:tab w:val="num" w:pos="2160"/>
        </w:tabs>
        <w:spacing w:before="240" w:after="240"/>
        <w:rPr>
          <w:rFonts w:ascii="Arial" w:hAnsi="Arial" w:cs="Arial"/>
        </w:rPr>
      </w:pPr>
      <w:r>
        <w:rPr>
          <w:rFonts w:ascii="Arial" w:hAnsi="Arial" w:cs="Arial"/>
        </w:rPr>
        <w:t>The anesthesia shares for 2020 are as follows.</w:t>
      </w:r>
    </w:p>
    <w:tbl>
      <w:tblPr>
        <w:tblStyle w:val="TableGrid"/>
        <w:tblW w:w="0" w:type="auto"/>
        <w:tblLook w:val="04A0" w:firstRow="1" w:lastRow="0" w:firstColumn="1" w:lastColumn="0" w:noHBand="0" w:noVBand="1"/>
        <w:tblDescription w:val="Work"/>
      </w:tblPr>
      <w:tblGrid>
        <w:gridCol w:w="960"/>
        <w:gridCol w:w="960"/>
        <w:gridCol w:w="960"/>
      </w:tblGrid>
      <w:tr w:rsidR="006D580C" w:rsidRPr="00505BD1" w:rsidTr="00295303">
        <w:trPr>
          <w:trHeight w:val="360"/>
        </w:trPr>
        <w:tc>
          <w:tcPr>
            <w:tcW w:w="960" w:type="dxa"/>
            <w:hideMark/>
          </w:tcPr>
          <w:p w:rsidR="006D580C" w:rsidRPr="00505BD1" w:rsidRDefault="006D580C" w:rsidP="00185954">
            <w:pPr>
              <w:tabs>
                <w:tab w:val="num" w:pos="2160"/>
              </w:tabs>
              <w:rPr>
                <w:rFonts w:ascii="Arial" w:hAnsi="Arial" w:cs="Arial"/>
                <w:b/>
                <w:bCs/>
              </w:rPr>
            </w:pPr>
            <w:r w:rsidRPr="00505BD1">
              <w:rPr>
                <w:rFonts w:ascii="Arial" w:hAnsi="Arial" w:cs="Arial"/>
                <w:b/>
                <w:bCs/>
              </w:rPr>
              <w:t>Work</w:t>
            </w:r>
          </w:p>
        </w:tc>
        <w:tc>
          <w:tcPr>
            <w:tcW w:w="960" w:type="dxa"/>
            <w:hideMark/>
          </w:tcPr>
          <w:p w:rsidR="006D580C" w:rsidRPr="00505BD1" w:rsidRDefault="006D580C" w:rsidP="00185954">
            <w:pPr>
              <w:tabs>
                <w:tab w:val="num" w:pos="2160"/>
              </w:tabs>
              <w:rPr>
                <w:rFonts w:ascii="Arial" w:hAnsi="Arial" w:cs="Arial"/>
                <w:b/>
                <w:bCs/>
              </w:rPr>
            </w:pPr>
            <w:r w:rsidRPr="00505BD1">
              <w:rPr>
                <w:rFonts w:ascii="Arial" w:hAnsi="Arial" w:cs="Arial"/>
                <w:b/>
                <w:bCs/>
              </w:rPr>
              <w:t>PE</w:t>
            </w:r>
          </w:p>
        </w:tc>
        <w:tc>
          <w:tcPr>
            <w:tcW w:w="960" w:type="dxa"/>
            <w:hideMark/>
          </w:tcPr>
          <w:p w:rsidR="006D580C" w:rsidRPr="00505BD1" w:rsidRDefault="006D580C" w:rsidP="00185954">
            <w:pPr>
              <w:tabs>
                <w:tab w:val="num" w:pos="2160"/>
              </w:tabs>
              <w:rPr>
                <w:rFonts w:ascii="Arial" w:hAnsi="Arial" w:cs="Arial"/>
                <w:b/>
                <w:bCs/>
              </w:rPr>
            </w:pPr>
            <w:r w:rsidRPr="00505BD1">
              <w:rPr>
                <w:rFonts w:ascii="Arial" w:hAnsi="Arial" w:cs="Arial"/>
                <w:b/>
                <w:bCs/>
              </w:rPr>
              <w:t>MP</w:t>
            </w:r>
          </w:p>
        </w:tc>
      </w:tr>
      <w:tr w:rsidR="006D580C" w:rsidRPr="00505BD1" w:rsidTr="00295303">
        <w:trPr>
          <w:trHeight w:val="330"/>
        </w:trPr>
        <w:tc>
          <w:tcPr>
            <w:tcW w:w="960" w:type="dxa"/>
            <w:hideMark/>
          </w:tcPr>
          <w:p w:rsidR="006D580C" w:rsidRPr="00505BD1" w:rsidRDefault="006D580C" w:rsidP="00185954">
            <w:pPr>
              <w:tabs>
                <w:tab w:val="num" w:pos="2160"/>
              </w:tabs>
              <w:rPr>
                <w:rFonts w:ascii="Arial" w:hAnsi="Arial" w:cs="Arial"/>
              </w:rPr>
            </w:pPr>
            <w:r w:rsidRPr="00505BD1">
              <w:rPr>
                <w:rFonts w:ascii="Arial" w:hAnsi="Arial" w:cs="Arial"/>
              </w:rPr>
              <w:t>0.785</w:t>
            </w:r>
          </w:p>
        </w:tc>
        <w:tc>
          <w:tcPr>
            <w:tcW w:w="960" w:type="dxa"/>
            <w:hideMark/>
          </w:tcPr>
          <w:p w:rsidR="006D580C" w:rsidRPr="00505BD1" w:rsidRDefault="006D580C" w:rsidP="00185954">
            <w:pPr>
              <w:tabs>
                <w:tab w:val="num" w:pos="2160"/>
              </w:tabs>
              <w:rPr>
                <w:rFonts w:ascii="Arial" w:hAnsi="Arial" w:cs="Arial"/>
              </w:rPr>
            </w:pPr>
            <w:r w:rsidRPr="00505BD1">
              <w:rPr>
                <w:rFonts w:ascii="Arial" w:hAnsi="Arial" w:cs="Arial"/>
              </w:rPr>
              <w:t>0.154</w:t>
            </w:r>
          </w:p>
        </w:tc>
        <w:tc>
          <w:tcPr>
            <w:tcW w:w="960" w:type="dxa"/>
            <w:hideMark/>
          </w:tcPr>
          <w:p w:rsidR="006D580C" w:rsidRPr="00505BD1" w:rsidRDefault="006D580C" w:rsidP="00185954">
            <w:pPr>
              <w:tabs>
                <w:tab w:val="num" w:pos="2160"/>
              </w:tabs>
              <w:rPr>
                <w:rFonts w:ascii="Arial" w:hAnsi="Arial" w:cs="Arial"/>
              </w:rPr>
            </w:pPr>
            <w:r w:rsidRPr="00505BD1">
              <w:rPr>
                <w:rFonts w:ascii="Arial" w:hAnsi="Arial" w:cs="Arial"/>
              </w:rPr>
              <w:t>0.061</w:t>
            </w:r>
          </w:p>
        </w:tc>
      </w:tr>
    </w:tbl>
    <w:p w:rsidR="00F87064" w:rsidRPr="00573F80" w:rsidRDefault="00F87064" w:rsidP="00295303">
      <w:pPr>
        <w:widowControl w:val="0"/>
        <w:outlineLvl w:val="0"/>
        <w:rPr>
          <w:rFonts w:ascii="Arial" w:hAnsi="Arial" w:cs="Arial"/>
        </w:rPr>
      </w:pPr>
    </w:p>
    <w:sectPr w:rsidR="00F87064" w:rsidRPr="00573F80" w:rsidSect="00A94043">
      <w:headerReference w:type="even" r:id="rId18"/>
      <w:headerReference w:type="default" r:id="rId19"/>
      <w:footerReference w:type="even" r:id="rId20"/>
      <w:footerReference w:type="default" r:id="rId21"/>
      <w:headerReference w:type="first" r:id="rId22"/>
      <w:footerReference w:type="first" r:id="rId23"/>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0A" w:rsidRDefault="00D2390A">
      <w:r>
        <w:separator/>
      </w:r>
    </w:p>
  </w:endnote>
  <w:endnote w:type="continuationSeparator" w:id="0">
    <w:p w:rsidR="00D2390A" w:rsidRDefault="00D23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89" w:rsidRDefault="00417B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0C9" w:rsidRPr="00573F80" w:rsidRDefault="009900C9" w:rsidP="006B2C29">
    <w:pPr>
      <w:pStyle w:val="Footer"/>
      <w:rPr>
        <w:rFonts w:ascii="Arial" w:hAnsi="Arial" w:cs="Arial"/>
      </w:rPr>
    </w:pPr>
  </w:p>
  <w:p w:rsidR="009900C9" w:rsidRPr="00573F80" w:rsidRDefault="009900C9" w:rsidP="006B2C29">
    <w:pPr>
      <w:pStyle w:val="Footer"/>
      <w:pBdr>
        <w:top w:val="thinThickSmallGap" w:sz="24" w:space="1" w:color="622423"/>
      </w:pBdr>
      <w:tabs>
        <w:tab w:val="clear" w:pos="4320"/>
      </w:tabs>
      <w:rPr>
        <w:rFonts w:ascii="Arial" w:hAnsi="Arial" w:cs="Arial"/>
      </w:rPr>
    </w:pPr>
    <w:r w:rsidRPr="00573F80">
      <w:rPr>
        <w:rFonts w:ascii="Arial" w:hAnsi="Arial" w:cs="Arial"/>
      </w:rPr>
      <w:t>Physician and Non-Physician Practitioner Fee Schedule</w:t>
    </w:r>
  </w:p>
  <w:p w:rsidR="009900C9" w:rsidRPr="00573F80" w:rsidRDefault="009900C9" w:rsidP="006B2C29">
    <w:pPr>
      <w:pStyle w:val="Footer"/>
      <w:pBdr>
        <w:top w:val="thinThickSmallGap" w:sz="24" w:space="1" w:color="622423"/>
      </w:pBdr>
      <w:tabs>
        <w:tab w:val="clear" w:pos="4320"/>
      </w:tabs>
      <w:rPr>
        <w:rFonts w:ascii="Arial" w:hAnsi="Arial" w:cs="Arial"/>
      </w:rPr>
    </w:pPr>
    <w:r w:rsidRPr="00573F80">
      <w:rPr>
        <w:rFonts w:ascii="Arial" w:hAnsi="Arial" w:cs="Arial"/>
      </w:rPr>
      <w:t>January 1, 20</w:t>
    </w:r>
    <w:r w:rsidR="00573F80">
      <w:rPr>
        <w:rFonts w:ascii="Arial" w:hAnsi="Arial" w:cs="Arial"/>
      </w:rPr>
      <w:t>20</w:t>
    </w:r>
    <w:r w:rsidRPr="00573F80">
      <w:rPr>
        <w:rFonts w:ascii="Arial" w:hAnsi="Arial" w:cs="Arial"/>
      </w:rPr>
      <w:t xml:space="preserve"> Update:  Explanation of Changes</w:t>
    </w:r>
    <w:r w:rsidRPr="00573F80">
      <w:rPr>
        <w:rFonts w:ascii="Arial" w:hAnsi="Arial" w:cs="Arial"/>
      </w:rPr>
      <w:tab/>
      <w:t xml:space="preserve">Page </w:t>
    </w:r>
    <w:r w:rsidRPr="00573F80">
      <w:rPr>
        <w:rFonts w:ascii="Arial" w:hAnsi="Arial" w:cs="Arial"/>
      </w:rPr>
      <w:fldChar w:fldCharType="begin"/>
    </w:r>
    <w:r w:rsidRPr="00573F80">
      <w:rPr>
        <w:rFonts w:ascii="Arial" w:hAnsi="Arial" w:cs="Arial"/>
      </w:rPr>
      <w:instrText xml:space="preserve"> PAGE  \* Arabic  \* MERGEFORMAT </w:instrText>
    </w:r>
    <w:r w:rsidRPr="00573F80">
      <w:rPr>
        <w:rFonts w:ascii="Arial" w:hAnsi="Arial" w:cs="Arial"/>
      </w:rPr>
      <w:fldChar w:fldCharType="separate"/>
    </w:r>
    <w:r w:rsidR="00C10762">
      <w:rPr>
        <w:rFonts w:ascii="Arial" w:hAnsi="Arial" w:cs="Arial"/>
        <w:noProof/>
      </w:rPr>
      <w:t>5</w:t>
    </w:r>
    <w:r w:rsidRPr="00573F80">
      <w:rPr>
        <w:rFonts w:ascii="Arial" w:hAnsi="Arial" w:cs="Arial"/>
      </w:rPr>
      <w:fldChar w:fldCharType="end"/>
    </w:r>
    <w:r w:rsidRPr="00573F80">
      <w:rPr>
        <w:rFonts w:ascii="Arial" w:hAnsi="Arial" w:cs="Arial"/>
      </w:rPr>
      <w:t xml:space="preserve"> of </w:t>
    </w:r>
    <w:r w:rsidRPr="00573F80">
      <w:rPr>
        <w:rFonts w:ascii="Arial" w:hAnsi="Arial" w:cs="Arial"/>
      </w:rPr>
      <w:fldChar w:fldCharType="begin"/>
    </w:r>
    <w:r w:rsidRPr="00573F80">
      <w:rPr>
        <w:rFonts w:ascii="Arial" w:hAnsi="Arial" w:cs="Arial"/>
      </w:rPr>
      <w:instrText xml:space="preserve"> NUMPAGES  \* Arabic  \* MERGEFORMAT </w:instrText>
    </w:r>
    <w:r w:rsidRPr="00573F80">
      <w:rPr>
        <w:rFonts w:ascii="Arial" w:hAnsi="Arial" w:cs="Arial"/>
      </w:rPr>
      <w:fldChar w:fldCharType="separate"/>
    </w:r>
    <w:r w:rsidR="00C10762">
      <w:rPr>
        <w:rFonts w:ascii="Arial" w:hAnsi="Arial" w:cs="Arial"/>
        <w:noProof/>
      </w:rPr>
      <w:t>9</w:t>
    </w:r>
    <w:r w:rsidRPr="00573F80">
      <w:rPr>
        <w:rFonts w:ascii="Arial" w:hAnsi="Arial" w:cs="Arial"/>
      </w:rPr>
      <w:fldChar w:fldCharType="end"/>
    </w:r>
  </w:p>
  <w:p w:rsidR="009900C9" w:rsidRPr="00F37789" w:rsidRDefault="009900C9" w:rsidP="006B2C29">
    <w:pPr>
      <w:pStyle w:val="Footer"/>
      <w:rPr>
        <w:sz w:val="20"/>
        <w:szCs w:val="20"/>
      </w:rPr>
    </w:pPr>
  </w:p>
  <w:p w:rsidR="009900C9" w:rsidRPr="006B2C29" w:rsidRDefault="009900C9" w:rsidP="006B2C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89" w:rsidRDefault="00417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0A" w:rsidRDefault="00D2390A">
      <w:r>
        <w:separator/>
      </w:r>
    </w:p>
  </w:footnote>
  <w:footnote w:type="continuationSeparator" w:id="0">
    <w:p w:rsidR="00D2390A" w:rsidRDefault="00D23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89" w:rsidRDefault="00417B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89" w:rsidRDefault="00417B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B89" w:rsidRDefault="00417B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2">
    <w:nsid w:val="0DD30C26"/>
    <w:multiLevelType w:val="hybridMultilevel"/>
    <w:tmpl w:val="005AF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B30B30"/>
    <w:multiLevelType w:val="hybridMultilevel"/>
    <w:tmpl w:val="557E321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6D46C89"/>
    <w:multiLevelType w:val="hybridMultilevel"/>
    <w:tmpl w:val="8FFE8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24F0A"/>
    <w:multiLevelType w:val="hybridMultilevel"/>
    <w:tmpl w:val="14F45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2B534DC"/>
    <w:multiLevelType w:val="hybridMultilevel"/>
    <w:tmpl w:val="D2B4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2874148A"/>
    <w:multiLevelType w:val="hybridMultilevel"/>
    <w:tmpl w:val="2D8A6348"/>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0F7FBB"/>
    <w:multiLevelType w:val="hybridMultilevel"/>
    <w:tmpl w:val="479486CA"/>
    <w:lvl w:ilvl="0" w:tplc="B10A7E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42D243B6"/>
    <w:multiLevelType w:val="hybridMultilevel"/>
    <w:tmpl w:val="DDDCC876"/>
    <w:lvl w:ilvl="0" w:tplc="6A4689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6">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74E2FEA"/>
    <w:multiLevelType w:val="hybridMultilevel"/>
    <w:tmpl w:val="C27A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21138D"/>
    <w:multiLevelType w:val="hybridMultilevel"/>
    <w:tmpl w:val="D4A8AEE0"/>
    <w:lvl w:ilvl="0" w:tplc="2782FF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26F3550"/>
    <w:multiLevelType w:val="hybridMultilevel"/>
    <w:tmpl w:val="CFF0DB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3360CBF"/>
    <w:multiLevelType w:val="hybridMultilevel"/>
    <w:tmpl w:val="0A7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EC5116"/>
    <w:multiLevelType w:val="hybridMultilevel"/>
    <w:tmpl w:val="69DED2B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A038EC"/>
    <w:multiLevelType w:val="hybridMultilevel"/>
    <w:tmpl w:val="DFE8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FC39E7"/>
    <w:multiLevelType w:val="hybridMultilevel"/>
    <w:tmpl w:val="ADDA254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E361A09"/>
    <w:multiLevelType w:val="hybridMultilevel"/>
    <w:tmpl w:val="8AAC7162"/>
    <w:lvl w:ilvl="0" w:tplc="77DCC950">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790FD0"/>
    <w:multiLevelType w:val="hybridMultilevel"/>
    <w:tmpl w:val="78283A7E"/>
    <w:lvl w:ilvl="0" w:tplc="0ADCDC20">
      <w:start w:val="9"/>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7">
    <w:nsid w:val="6168243E"/>
    <w:multiLevelType w:val="hybridMultilevel"/>
    <w:tmpl w:val="454CD6D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BF2B5E"/>
    <w:multiLevelType w:val="hybridMultilevel"/>
    <w:tmpl w:val="D3FAB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C73A9B"/>
    <w:multiLevelType w:val="hybridMultilevel"/>
    <w:tmpl w:val="3CC8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5E5A09"/>
    <w:multiLevelType w:val="hybridMultilevel"/>
    <w:tmpl w:val="8C5E72CA"/>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9CA0B4D"/>
    <w:multiLevelType w:val="hybridMultilevel"/>
    <w:tmpl w:val="FD8A306A"/>
    <w:lvl w:ilvl="0" w:tplc="1CA2C8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B4A2C17"/>
    <w:multiLevelType w:val="hybridMultilevel"/>
    <w:tmpl w:val="DA8A5CDC"/>
    <w:lvl w:ilvl="0" w:tplc="D46A76E0">
      <w:start w:val="1"/>
      <w:numFmt w:val="decimal"/>
      <w:pStyle w:val="NumberedList"/>
      <w:lvlText w:val="%1."/>
      <w:lvlJc w:val="left"/>
      <w:pPr>
        <w:tabs>
          <w:tab w:val="num" w:pos="360"/>
        </w:tabs>
        <w:ind w:left="360" w:hanging="360"/>
      </w:pPr>
    </w:lvl>
    <w:lvl w:ilvl="1" w:tplc="A9D0176C">
      <w:start w:val="1"/>
      <w:numFmt w:val="lowerLetter"/>
      <w:lvlText w:val="%2."/>
      <w:lvlJc w:val="left"/>
      <w:pPr>
        <w:tabs>
          <w:tab w:val="num" w:pos="1440"/>
        </w:tabs>
        <w:ind w:left="1440" w:hanging="360"/>
      </w:pPr>
      <w:rPr>
        <w:rFonts w:ascii="Times New Roman" w:eastAsia="Times New Roman" w:hAnsi="Times New Roman" w:cs="Times New Roman"/>
      </w:r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9">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8A4406"/>
    <w:multiLevelType w:val="hybridMultilevel"/>
    <w:tmpl w:val="C1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9"/>
  </w:num>
  <w:num w:numId="3">
    <w:abstractNumId w:val="35"/>
  </w:num>
  <w:num w:numId="4">
    <w:abstractNumId w:val="39"/>
  </w:num>
  <w:num w:numId="5">
    <w:abstractNumId w:val="4"/>
  </w:num>
  <w:num w:numId="6">
    <w:abstractNumId w:val="31"/>
  </w:num>
  <w:num w:numId="7">
    <w:abstractNumId w:val="0"/>
  </w:num>
  <w:num w:numId="8">
    <w:abstractNumId w:val="42"/>
  </w:num>
  <w:num w:numId="9">
    <w:abstractNumId w:val="11"/>
  </w:num>
  <w:num w:numId="10">
    <w:abstractNumId w:val="13"/>
  </w:num>
  <w:num w:numId="11">
    <w:abstractNumId w:val="32"/>
  </w:num>
  <w:num w:numId="12">
    <w:abstractNumId w:val="30"/>
  </w:num>
  <w:num w:numId="13">
    <w:abstractNumId w:val="41"/>
  </w:num>
  <w:num w:numId="14">
    <w:abstractNumId w:val="38"/>
  </w:num>
  <w:num w:numId="15">
    <w:abstractNumId w:val="26"/>
  </w:num>
  <w:num w:numId="16">
    <w:abstractNumId w:val="15"/>
  </w:num>
  <w:num w:numId="17">
    <w:abstractNumId w:val="1"/>
  </w:num>
  <w:num w:numId="18">
    <w:abstractNumId w:val="29"/>
  </w:num>
  <w:num w:numId="19">
    <w:abstractNumId w:val="7"/>
  </w:num>
  <w:num w:numId="20">
    <w:abstractNumId w:val="16"/>
  </w:num>
  <w:num w:numId="21">
    <w:abstractNumId w:val="20"/>
  </w:num>
  <w:num w:numId="22">
    <w:abstractNumId w:val="17"/>
  </w:num>
  <w:num w:numId="23">
    <w:abstractNumId w:val="40"/>
  </w:num>
  <w:num w:numId="24">
    <w:abstractNumId w:val="10"/>
  </w:num>
  <w:num w:numId="25">
    <w:abstractNumId w:val="34"/>
  </w:num>
  <w:num w:numId="26">
    <w:abstractNumId w:val="28"/>
  </w:num>
  <w:num w:numId="27">
    <w:abstractNumId w:val="18"/>
  </w:num>
  <w:num w:numId="28">
    <w:abstractNumId w:val="19"/>
  </w:num>
  <w:num w:numId="29">
    <w:abstractNumId w:val="14"/>
  </w:num>
  <w:num w:numId="30">
    <w:abstractNumId w:val="36"/>
  </w:num>
  <w:num w:numId="31">
    <w:abstractNumId w:val="27"/>
  </w:num>
  <w:num w:numId="32">
    <w:abstractNumId w:val="8"/>
  </w:num>
  <w:num w:numId="33">
    <w:abstractNumId w:val="3"/>
  </w:num>
  <w:num w:numId="34">
    <w:abstractNumId w:val="22"/>
  </w:num>
  <w:num w:numId="35">
    <w:abstractNumId w:val="5"/>
  </w:num>
  <w:num w:numId="36">
    <w:abstractNumId w:val="24"/>
  </w:num>
  <w:num w:numId="37">
    <w:abstractNumId w:val="25"/>
  </w:num>
  <w:num w:numId="38">
    <w:abstractNumId w:val="2"/>
  </w:num>
  <w:num w:numId="39">
    <w:abstractNumId w:val="12"/>
  </w:num>
  <w:num w:numId="40">
    <w:abstractNumId w:val="21"/>
  </w:num>
  <w:num w:numId="41">
    <w:abstractNumId w:val="33"/>
  </w:num>
  <w:num w:numId="42">
    <w:abstractNumId w:val="2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removePersonalInformation/>
  <w:removeDateAndTime/>
  <w:embedSystemFonts/>
  <w:proofState w:spelling="clean" w:grammar="clean"/>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M1NbWwNDC1NDK1NDFX0lEKTi0uzszPAykwrgUADlBMYywAAAA="/>
  </w:docVars>
  <w:rsids>
    <w:rsidRoot w:val="00214A20"/>
    <w:rsid w:val="00006B49"/>
    <w:rsid w:val="00010B74"/>
    <w:rsid w:val="00010CF8"/>
    <w:rsid w:val="00011566"/>
    <w:rsid w:val="00011C71"/>
    <w:rsid w:val="0001520C"/>
    <w:rsid w:val="00015915"/>
    <w:rsid w:val="00015BDE"/>
    <w:rsid w:val="00016CB5"/>
    <w:rsid w:val="00020566"/>
    <w:rsid w:val="000267D8"/>
    <w:rsid w:val="0003628D"/>
    <w:rsid w:val="00036609"/>
    <w:rsid w:val="00036946"/>
    <w:rsid w:val="00041027"/>
    <w:rsid w:val="0004585D"/>
    <w:rsid w:val="00047E54"/>
    <w:rsid w:val="000502C2"/>
    <w:rsid w:val="00050911"/>
    <w:rsid w:val="000516CF"/>
    <w:rsid w:val="000526F9"/>
    <w:rsid w:val="00052EC5"/>
    <w:rsid w:val="00057A95"/>
    <w:rsid w:val="00057EC1"/>
    <w:rsid w:val="00060CE0"/>
    <w:rsid w:val="00061EB2"/>
    <w:rsid w:val="00067BAC"/>
    <w:rsid w:val="00070FD4"/>
    <w:rsid w:val="00071118"/>
    <w:rsid w:val="00072829"/>
    <w:rsid w:val="00072F0A"/>
    <w:rsid w:val="00073654"/>
    <w:rsid w:val="0007569A"/>
    <w:rsid w:val="00080410"/>
    <w:rsid w:val="00083E45"/>
    <w:rsid w:val="00084097"/>
    <w:rsid w:val="0008443C"/>
    <w:rsid w:val="00084C27"/>
    <w:rsid w:val="00086905"/>
    <w:rsid w:val="00090C07"/>
    <w:rsid w:val="0009277A"/>
    <w:rsid w:val="00093493"/>
    <w:rsid w:val="00094167"/>
    <w:rsid w:val="00094BE2"/>
    <w:rsid w:val="0009623C"/>
    <w:rsid w:val="00096E86"/>
    <w:rsid w:val="000A3E5F"/>
    <w:rsid w:val="000A4EBC"/>
    <w:rsid w:val="000A614A"/>
    <w:rsid w:val="000A7518"/>
    <w:rsid w:val="000B030C"/>
    <w:rsid w:val="000B53D0"/>
    <w:rsid w:val="000C12D9"/>
    <w:rsid w:val="000C1373"/>
    <w:rsid w:val="000C61C3"/>
    <w:rsid w:val="000C67D6"/>
    <w:rsid w:val="000C7460"/>
    <w:rsid w:val="000D1DA5"/>
    <w:rsid w:val="000D28D4"/>
    <w:rsid w:val="000D3262"/>
    <w:rsid w:val="000D5CCF"/>
    <w:rsid w:val="000D6287"/>
    <w:rsid w:val="000D74EB"/>
    <w:rsid w:val="000D799A"/>
    <w:rsid w:val="000E158F"/>
    <w:rsid w:val="000E2E9E"/>
    <w:rsid w:val="000E5BEF"/>
    <w:rsid w:val="000E71F6"/>
    <w:rsid w:val="000F1A07"/>
    <w:rsid w:val="000F418C"/>
    <w:rsid w:val="000F618A"/>
    <w:rsid w:val="000F61CF"/>
    <w:rsid w:val="00105A03"/>
    <w:rsid w:val="00110C90"/>
    <w:rsid w:val="00113DD3"/>
    <w:rsid w:val="00120560"/>
    <w:rsid w:val="001239D7"/>
    <w:rsid w:val="00124DA2"/>
    <w:rsid w:val="0012584F"/>
    <w:rsid w:val="001259C8"/>
    <w:rsid w:val="00130297"/>
    <w:rsid w:val="00136F01"/>
    <w:rsid w:val="001370CF"/>
    <w:rsid w:val="001418F4"/>
    <w:rsid w:val="001423A9"/>
    <w:rsid w:val="00143187"/>
    <w:rsid w:val="00144DCB"/>
    <w:rsid w:val="00147FD4"/>
    <w:rsid w:val="00150596"/>
    <w:rsid w:val="00150B6B"/>
    <w:rsid w:val="00150E88"/>
    <w:rsid w:val="00152942"/>
    <w:rsid w:val="001551AB"/>
    <w:rsid w:val="00156BA2"/>
    <w:rsid w:val="00167B30"/>
    <w:rsid w:val="00170BC7"/>
    <w:rsid w:val="00170D63"/>
    <w:rsid w:val="00171958"/>
    <w:rsid w:val="00171D52"/>
    <w:rsid w:val="0017517B"/>
    <w:rsid w:val="001814DF"/>
    <w:rsid w:val="00185A50"/>
    <w:rsid w:val="0018716B"/>
    <w:rsid w:val="001907BF"/>
    <w:rsid w:val="00190A53"/>
    <w:rsid w:val="00190DAA"/>
    <w:rsid w:val="00192785"/>
    <w:rsid w:val="00196C09"/>
    <w:rsid w:val="001A122A"/>
    <w:rsid w:val="001A3271"/>
    <w:rsid w:val="001A40E4"/>
    <w:rsid w:val="001A42BF"/>
    <w:rsid w:val="001A6102"/>
    <w:rsid w:val="001A63F4"/>
    <w:rsid w:val="001A7A17"/>
    <w:rsid w:val="001C156D"/>
    <w:rsid w:val="001C1686"/>
    <w:rsid w:val="001C2FC7"/>
    <w:rsid w:val="001C41E7"/>
    <w:rsid w:val="001C4EDC"/>
    <w:rsid w:val="001C6290"/>
    <w:rsid w:val="001C6A56"/>
    <w:rsid w:val="001C6DFB"/>
    <w:rsid w:val="001C76C5"/>
    <w:rsid w:val="001C7BB3"/>
    <w:rsid w:val="001D0E2C"/>
    <w:rsid w:val="001D282D"/>
    <w:rsid w:val="001D5165"/>
    <w:rsid w:val="001D6AD1"/>
    <w:rsid w:val="001D7444"/>
    <w:rsid w:val="001E19D1"/>
    <w:rsid w:val="001E6370"/>
    <w:rsid w:val="001F1FA8"/>
    <w:rsid w:val="001F4422"/>
    <w:rsid w:val="001F50AC"/>
    <w:rsid w:val="001F6169"/>
    <w:rsid w:val="001F6E36"/>
    <w:rsid w:val="00201D6A"/>
    <w:rsid w:val="002040C1"/>
    <w:rsid w:val="00205866"/>
    <w:rsid w:val="00205FC4"/>
    <w:rsid w:val="00206906"/>
    <w:rsid w:val="002100BF"/>
    <w:rsid w:val="002100CC"/>
    <w:rsid w:val="00213297"/>
    <w:rsid w:val="002134AD"/>
    <w:rsid w:val="0021390D"/>
    <w:rsid w:val="002143E3"/>
    <w:rsid w:val="00214A20"/>
    <w:rsid w:val="00215E03"/>
    <w:rsid w:val="00227903"/>
    <w:rsid w:val="0023318C"/>
    <w:rsid w:val="00233E52"/>
    <w:rsid w:val="00235EB6"/>
    <w:rsid w:val="00241B31"/>
    <w:rsid w:val="00241DAB"/>
    <w:rsid w:val="00244D2A"/>
    <w:rsid w:val="002452AB"/>
    <w:rsid w:val="002472C8"/>
    <w:rsid w:val="002529B4"/>
    <w:rsid w:val="002569C0"/>
    <w:rsid w:val="00257FD8"/>
    <w:rsid w:val="002609B7"/>
    <w:rsid w:val="0026327D"/>
    <w:rsid w:val="002640F0"/>
    <w:rsid w:val="00264A83"/>
    <w:rsid w:val="002653A5"/>
    <w:rsid w:val="002654E9"/>
    <w:rsid w:val="00267263"/>
    <w:rsid w:val="00267CB5"/>
    <w:rsid w:val="00274BA9"/>
    <w:rsid w:val="0027561A"/>
    <w:rsid w:val="00285962"/>
    <w:rsid w:val="00285C37"/>
    <w:rsid w:val="002907E1"/>
    <w:rsid w:val="002914D1"/>
    <w:rsid w:val="00294E5B"/>
    <w:rsid w:val="00295303"/>
    <w:rsid w:val="002A2760"/>
    <w:rsid w:val="002A423E"/>
    <w:rsid w:val="002A5A01"/>
    <w:rsid w:val="002A5CB3"/>
    <w:rsid w:val="002A62D5"/>
    <w:rsid w:val="002B243E"/>
    <w:rsid w:val="002B346A"/>
    <w:rsid w:val="002B39E3"/>
    <w:rsid w:val="002B4124"/>
    <w:rsid w:val="002B4982"/>
    <w:rsid w:val="002B51B2"/>
    <w:rsid w:val="002B6ED9"/>
    <w:rsid w:val="002B7D95"/>
    <w:rsid w:val="002B7E34"/>
    <w:rsid w:val="002B7F0B"/>
    <w:rsid w:val="002C47F0"/>
    <w:rsid w:val="002C4B0F"/>
    <w:rsid w:val="002D181D"/>
    <w:rsid w:val="002D2C0A"/>
    <w:rsid w:val="002D56E2"/>
    <w:rsid w:val="002D5B33"/>
    <w:rsid w:val="002D754E"/>
    <w:rsid w:val="002D7C69"/>
    <w:rsid w:val="002E1D35"/>
    <w:rsid w:val="002E2B34"/>
    <w:rsid w:val="002E3CA5"/>
    <w:rsid w:val="002E5A78"/>
    <w:rsid w:val="002E5C9F"/>
    <w:rsid w:val="002E5FF7"/>
    <w:rsid w:val="002F1449"/>
    <w:rsid w:val="002F1E32"/>
    <w:rsid w:val="002F24AE"/>
    <w:rsid w:val="002F2B33"/>
    <w:rsid w:val="00300889"/>
    <w:rsid w:val="00303021"/>
    <w:rsid w:val="0030592F"/>
    <w:rsid w:val="00305DAD"/>
    <w:rsid w:val="00307EAC"/>
    <w:rsid w:val="00310416"/>
    <w:rsid w:val="00310F32"/>
    <w:rsid w:val="00312E13"/>
    <w:rsid w:val="003150CD"/>
    <w:rsid w:val="00316E6C"/>
    <w:rsid w:val="00317DDF"/>
    <w:rsid w:val="003204B8"/>
    <w:rsid w:val="003214C1"/>
    <w:rsid w:val="00321870"/>
    <w:rsid w:val="00322B3D"/>
    <w:rsid w:val="003260D4"/>
    <w:rsid w:val="00326CC8"/>
    <w:rsid w:val="003325B0"/>
    <w:rsid w:val="00332D8F"/>
    <w:rsid w:val="003342FC"/>
    <w:rsid w:val="00334C5F"/>
    <w:rsid w:val="00335CED"/>
    <w:rsid w:val="00336737"/>
    <w:rsid w:val="003418AF"/>
    <w:rsid w:val="0034448D"/>
    <w:rsid w:val="00345E7A"/>
    <w:rsid w:val="003472FC"/>
    <w:rsid w:val="003503B9"/>
    <w:rsid w:val="00350799"/>
    <w:rsid w:val="00352797"/>
    <w:rsid w:val="00353B81"/>
    <w:rsid w:val="00356B1B"/>
    <w:rsid w:val="0036100F"/>
    <w:rsid w:val="00361B8C"/>
    <w:rsid w:val="00361C71"/>
    <w:rsid w:val="00361E29"/>
    <w:rsid w:val="003656B7"/>
    <w:rsid w:val="00366A0C"/>
    <w:rsid w:val="00366BD4"/>
    <w:rsid w:val="003700D4"/>
    <w:rsid w:val="00371D97"/>
    <w:rsid w:val="00375D9E"/>
    <w:rsid w:val="00376621"/>
    <w:rsid w:val="00380313"/>
    <w:rsid w:val="00381126"/>
    <w:rsid w:val="00383008"/>
    <w:rsid w:val="003830E7"/>
    <w:rsid w:val="00383961"/>
    <w:rsid w:val="00384888"/>
    <w:rsid w:val="00394CCE"/>
    <w:rsid w:val="00395B05"/>
    <w:rsid w:val="00397823"/>
    <w:rsid w:val="003A1AAC"/>
    <w:rsid w:val="003A28FD"/>
    <w:rsid w:val="003A40E7"/>
    <w:rsid w:val="003A4B2A"/>
    <w:rsid w:val="003A5FCC"/>
    <w:rsid w:val="003A63B6"/>
    <w:rsid w:val="003B0645"/>
    <w:rsid w:val="003B2522"/>
    <w:rsid w:val="003B5077"/>
    <w:rsid w:val="003B5125"/>
    <w:rsid w:val="003B5543"/>
    <w:rsid w:val="003B5808"/>
    <w:rsid w:val="003B61A1"/>
    <w:rsid w:val="003B7608"/>
    <w:rsid w:val="003C0E34"/>
    <w:rsid w:val="003C0F9E"/>
    <w:rsid w:val="003C1FF2"/>
    <w:rsid w:val="003C219F"/>
    <w:rsid w:val="003C21F3"/>
    <w:rsid w:val="003C2BCC"/>
    <w:rsid w:val="003C3A5A"/>
    <w:rsid w:val="003C3D5A"/>
    <w:rsid w:val="003C4A62"/>
    <w:rsid w:val="003C53C6"/>
    <w:rsid w:val="003D33E1"/>
    <w:rsid w:val="003D41E2"/>
    <w:rsid w:val="003D6A2E"/>
    <w:rsid w:val="003F077A"/>
    <w:rsid w:val="003F1D0D"/>
    <w:rsid w:val="003F335B"/>
    <w:rsid w:val="003F4550"/>
    <w:rsid w:val="003F505A"/>
    <w:rsid w:val="00402E50"/>
    <w:rsid w:val="00403250"/>
    <w:rsid w:val="0040335A"/>
    <w:rsid w:val="00404AB3"/>
    <w:rsid w:val="00405D1B"/>
    <w:rsid w:val="00405D53"/>
    <w:rsid w:val="004062C5"/>
    <w:rsid w:val="00407F99"/>
    <w:rsid w:val="0041011B"/>
    <w:rsid w:val="00415990"/>
    <w:rsid w:val="00417B89"/>
    <w:rsid w:val="00421C18"/>
    <w:rsid w:val="004233EF"/>
    <w:rsid w:val="004243C4"/>
    <w:rsid w:val="0042498C"/>
    <w:rsid w:val="00425F20"/>
    <w:rsid w:val="004277A0"/>
    <w:rsid w:val="0043134F"/>
    <w:rsid w:val="00431D41"/>
    <w:rsid w:val="00441355"/>
    <w:rsid w:val="00444468"/>
    <w:rsid w:val="0044575A"/>
    <w:rsid w:val="00446F36"/>
    <w:rsid w:val="004476BA"/>
    <w:rsid w:val="004502BE"/>
    <w:rsid w:val="00456262"/>
    <w:rsid w:val="00456365"/>
    <w:rsid w:val="00457681"/>
    <w:rsid w:val="004608CD"/>
    <w:rsid w:val="00462E43"/>
    <w:rsid w:val="00463C8C"/>
    <w:rsid w:val="0046423B"/>
    <w:rsid w:val="0046729F"/>
    <w:rsid w:val="0046778C"/>
    <w:rsid w:val="00477D96"/>
    <w:rsid w:val="00480F1A"/>
    <w:rsid w:val="004812B3"/>
    <w:rsid w:val="00486DDF"/>
    <w:rsid w:val="004A1EBA"/>
    <w:rsid w:val="004A2B1B"/>
    <w:rsid w:val="004A54A8"/>
    <w:rsid w:val="004B1405"/>
    <w:rsid w:val="004B2824"/>
    <w:rsid w:val="004B2DE1"/>
    <w:rsid w:val="004C0960"/>
    <w:rsid w:val="004C1D09"/>
    <w:rsid w:val="004C4436"/>
    <w:rsid w:val="004C6E19"/>
    <w:rsid w:val="004D0AA0"/>
    <w:rsid w:val="004D227C"/>
    <w:rsid w:val="004D797B"/>
    <w:rsid w:val="004E0013"/>
    <w:rsid w:val="004E04EF"/>
    <w:rsid w:val="004E086D"/>
    <w:rsid w:val="004E14B8"/>
    <w:rsid w:val="004E249D"/>
    <w:rsid w:val="004E619D"/>
    <w:rsid w:val="004F2035"/>
    <w:rsid w:val="004F3C05"/>
    <w:rsid w:val="004F402D"/>
    <w:rsid w:val="004F5538"/>
    <w:rsid w:val="004F675F"/>
    <w:rsid w:val="00502DBE"/>
    <w:rsid w:val="00507B00"/>
    <w:rsid w:val="005120E0"/>
    <w:rsid w:val="0051299E"/>
    <w:rsid w:val="00515013"/>
    <w:rsid w:val="00515352"/>
    <w:rsid w:val="0051558F"/>
    <w:rsid w:val="00523155"/>
    <w:rsid w:val="00530148"/>
    <w:rsid w:val="00531039"/>
    <w:rsid w:val="0053527A"/>
    <w:rsid w:val="005446EF"/>
    <w:rsid w:val="00544E85"/>
    <w:rsid w:val="00545C07"/>
    <w:rsid w:val="00546FF2"/>
    <w:rsid w:val="00547C26"/>
    <w:rsid w:val="00550AA4"/>
    <w:rsid w:val="0055488B"/>
    <w:rsid w:val="005609F6"/>
    <w:rsid w:val="005610B4"/>
    <w:rsid w:val="00563F6F"/>
    <w:rsid w:val="0056427C"/>
    <w:rsid w:val="00571D6D"/>
    <w:rsid w:val="005727E5"/>
    <w:rsid w:val="0057348B"/>
    <w:rsid w:val="00573F80"/>
    <w:rsid w:val="00575B1A"/>
    <w:rsid w:val="00576C7D"/>
    <w:rsid w:val="005837FB"/>
    <w:rsid w:val="00584ED6"/>
    <w:rsid w:val="00585515"/>
    <w:rsid w:val="005869C7"/>
    <w:rsid w:val="00587B0D"/>
    <w:rsid w:val="005A1281"/>
    <w:rsid w:val="005A3D83"/>
    <w:rsid w:val="005A4702"/>
    <w:rsid w:val="005A4E44"/>
    <w:rsid w:val="005A4F25"/>
    <w:rsid w:val="005A61AF"/>
    <w:rsid w:val="005A7A79"/>
    <w:rsid w:val="005B1070"/>
    <w:rsid w:val="005B4487"/>
    <w:rsid w:val="005C15F5"/>
    <w:rsid w:val="005C20A7"/>
    <w:rsid w:val="005C3767"/>
    <w:rsid w:val="005C3A03"/>
    <w:rsid w:val="005C7AD6"/>
    <w:rsid w:val="005C7D97"/>
    <w:rsid w:val="005D3E7D"/>
    <w:rsid w:val="005D4E0D"/>
    <w:rsid w:val="005D7884"/>
    <w:rsid w:val="005E2B96"/>
    <w:rsid w:val="005E2BF5"/>
    <w:rsid w:val="005F1DF1"/>
    <w:rsid w:val="005F27B0"/>
    <w:rsid w:val="005F2A46"/>
    <w:rsid w:val="005F5098"/>
    <w:rsid w:val="005F528F"/>
    <w:rsid w:val="005F551B"/>
    <w:rsid w:val="005F6AE6"/>
    <w:rsid w:val="0060365F"/>
    <w:rsid w:val="00604A44"/>
    <w:rsid w:val="00607F7B"/>
    <w:rsid w:val="0061145F"/>
    <w:rsid w:val="00615788"/>
    <w:rsid w:val="00615F1C"/>
    <w:rsid w:val="00616837"/>
    <w:rsid w:val="00620E5E"/>
    <w:rsid w:val="00621204"/>
    <w:rsid w:val="00621E28"/>
    <w:rsid w:val="00623E7B"/>
    <w:rsid w:val="00624360"/>
    <w:rsid w:val="006251D7"/>
    <w:rsid w:val="00626C0E"/>
    <w:rsid w:val="00630318"/>
    <w:rsid w:val="006304AC"/>
    <w:rsid w:val="006353AF"/>
    <w:rsid w:val="00635A0E"/>
    <w:rsid w:val="00637B96"/>
    <w:rsid w:val="00640646"/>
    <w:rsid w:val="00643FA7"/>
    <w:rsid w:val="006466B3"/>
    <w:rsid w:val="00647822"/>
    <w:rsid w:val="00653F38"/>
    <w:rsid w:val="006540EB"/>
    <w:rsid w:val="00655D35"/>
    <w:rsid w:val="00656BD7"/>
    <w:rsid w:val="00656C52"/>
    <w:rsid w:val="00657FC9"/>
    <w:rsid w:val="00662675"/>
    <w:rsid w:val="0066555A"/>
    <w:rsid w:val="00670567"/>
    <w:rsid w:val="00670E97"/>
    <w:rsid w:val="00671163"/>
    <w:rsid w:val="00675527"/>
    <w:rsid w:val="0067587F"/>
    <w:rsid w:val="00680C13"/>
    <w:rsid w:val="00680DCE"/>
    <w:rsid w:val="00685C69"/>
    <w:rsid w:val="006928AD"/>
    <w:rsid w:val="006A134F"/>
    <w:rsid w:val="006A5443"/>
    <w:rsid w:val="006A6C25"/>
    <w:rsid w:val="006B1A3C"/>
    <w:rsid w:val="006B2C29"/>
    <w:rsid w:val="006B6042"/>
    <w:rsid w:val="006B6B37"/>
    <w:rsid w:val="006B6B43"/>
    <w:rsid w:val="006B75AB"/>
    <w:rsid w:val="006C6DF4"/>
    <w:rsid w:val="006C72AE"/>
    <w:rsid w:val="006D1BC7"/>
    <w:rsid w:val="006D206F"/>
    <w:rsid w:val="006D38B8"/>
    <w:rsid w:val="006D580C"/>
    <w:rsid w:val="006D5C7F"/>
    <w:rsid w:val="006D6948"/>
    <w:rsid w:val="006E02DD"/>
    <w:rsid w:val="006E45E7"/>
    <w:rsid w:val="006F030F"/>
    <w:rsid w:val="006F08A3"/>
    <w:rsid w:val="006F488F"/>
    <w:rsid w:val="006F510A"/>
    <w:rsid w:val="006F7380"/>
    <w:rsid w:val="00710411"/>
    <w:rsid w:val="007109A8"/>
    <w:rsid w:val="00710B74"/>
    <w:rsid w:val="007110C4"/>
    <w:rsid w:val="0071215C"/>
    <w:rsid w:val="00713F89"/>
    <w:rsid w:val="00714110"/>
    <w:rsid w:val="00714DBB"/>
    <w:rsid w:val="007150C3"/>
    <w:rsid w:val="007158F1"/>
    <w:rsid w:val="00716985"/>
    <w:rsid w:val="00720EF6"/>
    <w:rsid w:val="0072369C"/>
    <w:rsid w:val="00723701"/>
    <w:rsid w:val="007244D0"/>
    <w:rsid w:val="00727C8C"/>
    <w:rsid w:val="00731B7C"/>
    <w:rsid w:val="00740ABE"/>
    <w:rsid w:val="0074399E"/>
    <w:rsid w:val="0074706E"/>
    <w:rsid w:val="00747F41"/>
    <w:rsid w:val="007538A7"/>
    <w:rsid w:val="0075399A"/>
    <w:rsid w:val="00756CDB"/>
    <w:rsid w:val="0076346C"/>
    <w:rsid w:val="00765166"/>
    <w:rsid w:val="00767AA0"/>
    <w:rsid w:val="00771D6F"/>
    <w:rsid w:val="00772309"/>
    <w:rsid w:val="00773D26"/>
    <w:rsid w:val="00773FCB"/>
    <w:rsid w:val="007803F5"/>
    <w:rsid w:val="00780AD2"/>
    <w:rsid w:val="00786408"/>
    <w:rsid w:val="007868DD"/>
    <w:rsid w:val="00786C55"/>
    <w:rsid w:val="00787FD2"/>
    <w:rsid w:val="00790256"/>
    <w:rsid w:val="00790872"/>
    <w:rsid w:val="0079176B"/>
    <w:rsid w:val="00792673"/>
    <w:rsid w:val="00795DB4"/>
    <w:rsid w:val="00796EDB"/>
    <w:rsid w:val="007A2114"/>
    <w:rsid w:val="007B4FEE"/>
    <w:rsid w:val="007B58A2"/>
    <w:rsid w:val="007B64A4"/>
    <w:rsid w:val="007B72F4"/>
    <w:rsid w:val="007C4709"/>
    <w:rsid w:val="007C5141"/>
    <w:rsid w:val="007C6F37"/>
    <w:rsid w:val="007C6F7C"/>
    <w:rsid w:val="007C7FBF"/>
    <w:rsid w:val="007D1A43"/>
    <w:rsid w:val="007D30CC"/>
    <w:rsid w:val="007D3D95"/>
    <w:rsid w:val="007D545A"/>
    <w:rsid w:val="007D5F1C"/>
    <w:rsid w:val="007E0260"/>
    <w:rsid w:val="007E29B0"/>
    <w:rsid w:val="007E2DD2"/>
    <w:rsid w:val="007E57E5"/>
    <w:rsid w:val="007E5C0B"/>
    <w:rsid w:val="007F0E26"/>
    <w:rsid w:val="007F2457"/>
    <w:rsid w:val="007F2DD2"/>
    <w:rsid w:val="007F3E6D"/>
    <w:rsid w:val="007F411C"/>
    <w:rsid w:val="007F55FF"/>
    <w:rsid w:val="008003D9"/>
    <w:rsid w:val="008005BA"/>
    <w:rsid w:val="008006B7"/>
    <w:rsid w:val="008028FC"/>
    <w:rsid w:val="00802B5F"/>
    <w:rsid w:val="008135CC"/>
    <w:rsid w:val="00816D5D"/>
    <w:rsid w:val="00817438"/>
    <w:rsid w:val="008203DF"/>
    <w:rsid w:val="00822870"/>
    <w:rsid w:val="00823FD4"/>
    <w:rsid w:val="0082637E"/>
    <w:rsid w:val="00827F0A"/>
    <w:rsid w:val="00830306"/>
    <w:rsid w:val="008356E6"/>
    <w:rsid w:val="00841765"/>
    <w:rsid w:val="008420EE"/>
    <w:rsid w:val="0084296E"/>
    <w:rsid w:val="0084611C"/>
    <w:rsid w:val="00847DB0"/>
    <w:rsid w:val="00850083"/>
    <w:rsid w:val="0085031A"/>
    <w:rsid w:val="0085120C"/>
    <w:rsid w:val="00853719"/>
    <w:rsid w:val="00860093"/>
    <w:rsid w:val="00861D4A"/>
    <w:rsid w:val="00862035"/>
    <w:rsid w:val="00864A07"/>
    <w:rsid w:val="00866BC9"/>
    <w:rsid w:val="00866D55"/>
    <w:rsid w:val="008671DA"/>
    <w:rsid w:val="00870661"/>
    <w:rsid w:val="008711B5"/>
    <w:rsid w:val="008726A2"/>
    <w:rsid w:val="00872751"/>
    <w:rsid w:val="0088142C"/>
    <w:rsid w:val="00885911"/>
    <w:rsid w:val="00885D4A"/>
    <w:rsid w:val="0089462A"/>
    <w:rsid w:val="008A1FBC"/>
    <w:rsid w:val="008A268F"/>
    <w:rsid w:val="008A56D8"/>
    <w:rsid w:val="008A676A"/>
    <w:rsid w:val="008A7CFE"/>
    <w:rsid w:val="008B2A5D"/>
    <w:rsid w:val="008B333C"/>
    <w:rsid w:val="008B482C"/>
    <w:rsid w:val="008C01E6"/>
    <w:rsid w:val="008C3D54"/>
    <w:rsid w:val="008D06BE"/>
    <w:rsid w:val="008D111D"/>
    <w:rsid w:val="008D4B8E"/>
    <w:rsid w:val="008D6945"/>
    <w:rsid w:val="008E1F82"/>
    <w:rsid w:val="008E30EC"/>
    <w:rsid w:val="008E3BA7"/>
    <w:rsid w:val="008E3D1C"/>
    <w:rsid w:val="008E7CFB"/>
    <w:rsid w:val="008E7D31"/>
    <w:rsid w:val="008F22B9"/>
    <w:rsid w:val="008F3083"/>
    <w:rsid w:val="008F456F"/>
    <w:rsid w:val="00901717"/>
    <w:rsid w:val="00901C93"/>
    <w:rsid w:val="00905B81"/>
    <w:rsid w:val="00915F8F"/>
    <w:rsid w:val="00921727"/>
    <w:rsid w:val="009249A3"/>
    <w:rsid w:val="00925CA6"/>
    <w:rsid w:val="0092695A"/>
    <w:rsid w:val="009339F0"/>
    <w:rsid w:val="00933BA9"/>
    <w:rsid w:val="00934191"/>
    <w:rsid w:val="00941F16"/>
    <w:rsid w:val="00943F18"/>
    <w:rsid w:val="00945A04"/>
    <w:rsid w:val="00945B66"/>
    <w:rsid w:val="00951DCC"/>
    <w:rsid w:val="00952039"/>
    <w:rsid w:val="00956CF1"/>
    <w:rsid w:val="00957649"/>
    <w:rsid w:val="00957B1E"/>
    <w:rsid w:val="0096307B"/>
    <w:rsid w:val="00963D23"/>
    <w:rsid w:val="00964A55"/>
    <w:rsid w:val="009652C5"/>
    <w:rsid w:val="0096562B"/>
    <w:rsid w:val="00966167"/>
    <w:rsid w:val="00967281"/>
    <w:rsid w:val="00970E9E"/>
    <w:rsid w:val="00972362"/>
    <w:rsid w:val="00973629"/>
    <w:rsid w:val="00975568"/>
    <w:rsid w:val="0097695F"/>
    <w:rsid w:val="009774EE"/>
    <w:rsid w:val="00980D68"/>
    <w:rsid w:val="009900C9"/>
    <w:rsid w:val="00990EF5"/>
    <w:rsid w:val="00992E6E"/>
    <w:rsid w:val="009937D4"/>
    <w:rsid w:val="00996D93"/>
    <w:rsid w:val="009A10E6"/>
    <w:rsid w:val="009A24F5"/>
    <w:rsid w:val="009A281D"/>
    <w:rsid w:val="009A4BB5"/>
    <w:rsid w:val="009A6F01"/>
    <w:rsid w:val="009A6F81"/>
    <w:rsid w:val="009B0551"/>
    <w:rsid w:val="009B37DD"/>
    <w:rsid w:val="009B39AD"/>
    <w:rsid w:val="009B4921"/>
    <w:rsid w:val="009C1115"/>
    <w:rsid w:val="009C47DC"/>
    <w:rsid w:val="009D02C8"/>
    <w:rsid w:val="009D1D86"/>
    <w:rsid w:val="009D2522"/>
    <w:rsid w:val="009D59B4"/>
    <w:rsid w:val="009E4D45"/>
    <w:rsid w:val="009E4FB8"/>
    <w:rsid w:val="009E56A3"/>
    <w:rsid w:val="009E5F2C"/>
    <w:rsid w:val="009E68AF"/>
    <w:rsid w:val="009F3290"/>
    <w:rsid w:val="009F7401"/>
    <w:rsid w:val="00A02867"/>
    <w:rsid w:val="00A02E63"/>
    <w:rsid w:val="00A038F1"/>
    <w:rsid w:val="00A04DB8"/>
    <w:rsid w:val="00A05DCE"/>
    <w:rsid w:val="00A06175"/>
    <w:rsid w:val="00A06CE0"/>
    <w:rsid w:val="00A150C6"/>
    <w:rsid w:val="00A20DA0"/>
    <w:rsid w:val="00A319D3"/>
    <w:rsid w:val="00A32FA0"/>
    <w:rsid w:val="00A34864"/>
    <w:rsid w:val="00A3500C"/>
    <w:rsid w:val="00A40DDB"/>
    <w:rsid w:val="00A43982"/>
    <w:rsid w:val="00A50460"/>
    <w:rsid w:val="00A522CF"/>
    <w:rsid w:val="00A61C8E"/>
    <w:rsid w:val="00A62709"/>
    <w:rsid w:val="00A655AC"/>
    <w:rsid w:val="00A65C28"/>
    <w:rsid w:val="00A66736"/>
    <w:rsid w:val="00A66D52"/>
    <w:rsid w:val="00A67365"/>
    <w:rsid w:val="00A67DED"/>
    <w:rsid w:val="00A724F1"/>
    <w:rsid w:val="00A76293"/>
    <w:rsid w:val="00A77FDC"/>
    <w:rsid w:val="00A86BDC"/>
    <w:rsid w:val="00A8797C"/>
    <w:rsid w:val="00A87D0F"/>
    <w:rsid w:val="00A933AC"/>
    <w:rsid w:val="00A93514"/>
    <w:rsid w:val="00A939C4"/>
    <w:rsid w:val="00A94043"/>
    <w:rsid w:val="00AA0056"/>
    <w:rsid w:val="00AA2D39"/>
    <w:rsid w:val="00AA3169"/>
    <w:rsid w:val="00AA47F5"/>
    <w:rsid w:val="00AA7736"/>
    <w:rsid w:val="00AB1ABF"/>
    <w:rsid w:val="00AB35B3"/>
    <w:rsid w:val="00AC0934"/>
    <w:rsid w:val="00AC287A"/>
    <w:rsid w:val="00AC328D"/>
    <w:rsid w:val="00AC3D9C"/>
    <w:rsid w:val="00AC43D2"/>
    <w:rsid w:val="00AC5AA3"/>
    <w:rsid w:val="00AD210B"/>
    <w:rsid w:val="00AD4C57"/>
    <w:rsid w:val="00AD6F0F"/>
    <w:rsid w:val="00AE1963"/>
    <w:rsid w:val="00AE227C"/>
    <w:rsid w:val="00AE4D5D"/>
    <w:rsid w:val="00AF3272"/>
    <w:rsid w:val="00AF4C58"/>
    <w:rsid w:val="00AF718E"/>
    <w:rsid w:val="00AF74E0"/>
    <w:rsid w:val="00B023E3"/>
    <w:rsid w:val="00B02984"/>
    <w:rsid w:val="00B0327D"/>
    <w:rsid w:val="00B04BBB"/>
    <w:rsid w:val="00B05413"/>
    <w:rsid w:val="00B06DB1"/>
    <w:rsid w:val="00B079F7"/>
    <w:rsid w:val="00B1456F"/>
    <w:rsid w:val="00B23C9E"/>
    <w:rsid w:val="00B242B2"/>
    <w:rsid w:val="00B26135"/>
    <w:rsid w:val="00B268B7"/>
    <w:rsid w:val="00B302D3"/>
    <w:rsid w:val="00B35203"/>
    <w:rsid w:val="00B415E9"/>
    <w:rsid w:val="00B419EA"/>
    <w:rsid w:val="00B41DFA"/>
    <w:rsid w:val="00B42D67"/>
    <w:rsid w:val="00B42DB9"/>
    <w:rsid w:val="00B462E6"/>
    <w:rsid w:val="00B4703F"/>
    <w:rsid w:val="00B47A4F"/>
    <w:rsid w:val="00B5276B"/>
    <w:rsid w:val="00B53AC7"/>
    <w:rsid w:val="00B57613"/>
    <w:rsid w:val="00B60BC7"/>
    <w:rsid w:val="00B632C2"/>
    <w:rsid w:val="00B66132"/>
    <w:rsid w:val="00B66635"/>
    <w:rsid w:val="00B66CAF"/>
    <w:rsid w:val="00B70E77"/>
    <w:rsid w:val="00B75EA7"/>
    <w:rsid w:val="00B7761E"/>
    <w:rsid w:val="00B77BE4"/>
    <w:rsid w:val="00B77DF1"/>
    <w:rsid w:val="00B802E1"/>
    <w:rsid w:val="00B804C7"/>
    <w:rsid w:val="00B80F46"/>
    <w:rsid w:val="00B8144F"/>
    <w:rsid w:val="00B83709"/>
    <w:rsid w:val="00B86326"/>
    <w:rsid w:val="00B86E1B"/>
    <w:rsid w:val="00B874A9"/>
    <w:rsid w:val="00B877BF"/>
    <w:rsid w:val="00B9318A"/>
    <w:rsid w:val="00B956EC"/>
    <w:rsid w:val="00B95F16"/>
    <w:rsid w:val="00B96FBC"/>
    <w:rsid w:val="00B97039"/>
    <w:rsid w:val="00B97626"/>
    <w:rsid w:val="00BA0528"/>
    <w:rsid w:val="00BA562D"/>
    <w:rsid w:val="00BA56E1"/>
    <w:rsid w:val="00BA57CF"/>
    <w:rsid w:val="00BA59EF"/>
    <w:rsid w:val="00BA6249"/>
    <w:rsid w:val="00BA6AE5"/>
    <w:rsid w:val="00BB0899"/>
    <w:rsid w:val="00BB71B0"/>
    <w:rsid w:val="00BC16FC"/>
    <w:rsid w:val="00BC1BC9"/>
    <w:rsid w:val="00BC1D3F"/>
    <w:rsid w:val="00BC2652"/>
    <w:rsid w:val="00BC401A"/>
    <w:rsid w:val="00BC4043"/>
    <w:rsid w:val="00BC5C90"/>
    <w:rsid w:val="00BC662F"/>
    <w:rsid w:val="00BC713C"/>
    <w:rsid w:val="00BC7C66"/>
    <w:rsid w:val="00BD14FC"/>
    <w:rsid w:val="00BD63C4"/>
    <w:rsid w:val="00BD7371"/>
    <w:rsid w:val="00BE09A1"/>
    <w:rsid w:val="00BE401C"/>
    <w:rsid w:val="00BE4330"/>
    <w:rsid w:val="00BE4DC4"/>
    <w:rsid w:val="00BF1833"/>
    <w:rsid w:val="00BF1DDC"/>
    <w:rsid w:val="00BF3436"/>
    <w:rsid w:val="00BF381A"/>
    <w:rsid w:val="00BF453C"/>
    <w:rsid w:val="00BF4AF6"/>
    <w:rsid w:val="00BF58EC"/>
    <w:rsid w:val="00C00C3E"/>
    <w:rsid w:val="00C058FC"/>
    <w:rsid w:val="00C10762"/>
    <w:rsid w:val="00C116C6"/>
    <w:rsid w:val="00C11960"/>
    <w:rsid w:val="00C144D7"/>
    <w:rsid w:val="00C14A6C"/>
    <w:rsid w:val="00C15837"/>
    <w:rsid w:val="00C16386"/>
    <w:rsid w:val="00C16DA4"/>
    <w:rsid w:val="00C17F39"/>
    <w:rsid w:val="00C208A4"/>
    <w:rsid w:val="00C21741"/>
    <w:rsid w:val="00C218CC"/>
    <w:rsid w:val="00C22981"/>
    <w:rsid w:val="00C23A54"/>
    <w:rsid w:val="00C25862"/>
    <w:rsid w:val="00C311A5"/>
    <w:rsid w:val="00C3312A"/>
    <w:rsid w:val="00C34F98"/>
    <w:rsid w:val="00C40198"/>
    <w:rsid w:val="00C404F4"/>
    <w:rsid w:val="00C40508"/>
    <w:rsid w:val="00C40601"/>
    <w:rsid w:val="00C41EED"/>
    <w:rsid w:val="00C4239F"/>
    <w:rsid w:val="00C42EB5"/>
    <w:rsid w:val="00C453B9"/>
    <w:rsid w:val="00C46115"/>
    <w:rsid w:val="00C463A8"/>
    <w:rsid w:val="00C465CF"/>
    <w:rsid w:val="00C47979"/>
    <w:rsid w:val="00C51BCC"/>
    <w:rsid w:val="00C51F37"/>
    <w:rsid w:val="00C524B9"/>
    <w:rsid w:val="00C529F3"/>
    <w:rsid w:val="00C53CB8"/>
    <w:rsid w:val="00C55339"/>
    <w:rsid w:val="00C55A74"/>
    <w:rsid w:val="00C56355"/>
    <w:rsid w:val="00C600B0"/>
    <w:rsid w:val="00C62C66"/>
    <w:rsid w:val="00C655DE"/>
    <w:rsid w:val="00C66CEC"/>
    <w:rsid w:val="00C67738"/>
    <w:rsid w:val="00C704E0"/>
    <w:rsid w:val="00C71578"/>
    <w:rsid w:val="00C73B94"/>
    <w:rsid w:val="00C81054"/>
    <w:rsid w:val="00C822B6"/>
    <w:rsid w:val="00C84421"/>
    <w:rsid w:val="00C845AF"/>
    <w:rsid w:val="00C85D18"/>
    <w:rsid w:val="00C9064D"/>
    <w:rsid w:val="00C93709"/>
    <w:rsid w:val="00C93C0C"/>
    <w:rsid w:val="00C954DF"/>
    <w:rsid w:val="00C968C8"/>
    <w:rsid w:val="00C96D0D"/>
    <w:rsid w:val="00C97C0D"/>
    <w:rsid w:val="00CA1063"/>
    <w:rsid w:val="00CA1945"/>
    <w:rsid w:val="00CA3373"/>
    <w:rsid w:val="00CA4EF2"/>
    <w:rsid w:val="00CA51C9"/>
    <w:rsid w:val="00CA5533"/>
    <w:rsid w:val="00CB0A6F"/>
    <w:rsid w:val="00CB2A30"/>
    <w:rsid w:val="00CB4224"/>
    <w:rsid w:val="00CB49C8"/>
    <w:rsid w:val="00CB6012"/>
    <w:rsid w:val="00CB6512"/>
    <w:rsid w:val="00CB7BCA"/>
    <w:rsid w:val="00CC01B3"/>
    <w:rsid w:val="00CC1339"/>
    <w:rsid w:val="00CC2FAE"/>
    <w:rsid w:val="00CC580E"/>
    <w:rsid w:val="00CC7E30"/>
    <w:rsid w:val="00CD0E44"/>
    <w:rsid w:val="00CD1194"/>
    <w:rsid w:val="00CD3754"/>
    <w:rsid w:val="00CD3AFB"/>
    <w:rsid w:val="00CD524D"/>
    <w:rsid w:val="00CD62C2"/>
    <w:rsid w:val="00CD6390"/>
    <w:rsid w:val="00CD6570"/>
    <w:rsid w:val="00CE0D47"/>
    <w:rsid w:val="00CE1CB2"/>
    <w:rsid w:val="00CE4AB5"/>
    <w:rsid w:val="00CE4BD4"/>
    <w:rsid w:val="00CE55BB"/>
    <w:rsid w:val="00CE6742"/>
    <w:rsid w:val="00CE6A2D"/>
    <w:rsid w:val="00CF0543"/>
    <w:rsid w:val="00CF216D"/>
    <w:rsid w:val="00CF2648"/>
    <w:rsid w:val="00CF3B87"/>
    <w:rsid w:val="00CF523B"/>
    <w:rsid w:val="00CF5ABF"/>
    <w:rsid w:val="00CF671F"/>
    <w:rsid w:val="00D00AD7"/>
    <w:rsid w:val="00D0129F"/>
    <w:rsid w:val="00D01FA4"/>
    <w:rsid w:val="00D03492"/>
    <w:rsid w:val="00D04452"/>
    <w:rsid w:val="00D0488F"/>
    <w:rsid w:val="00D059FD"/>
    <w:rsid w:val="00D071C1"/>
    <w:rsid w:val="00D077AF"/>
    <w:rsid w:val="00D109DD"/>
    <w:rsid w:val="00D130BA"/>
    <w:rsid w:val="00D130CE"/>
    <w:rsid w:val="00D135C1"/>
    <w:rsid w:val="00D143DB"/>
    <w:rsid w:val="00D14F62"/>
    <w:rsid w:val="00D15E0B"/>
    <w:rsid w:val="00D16CB0"/>
    <w:rsid w:val="00D21466"/>
    <w:rsid w:val="00D23316"/>
    <w:rsid w:val="00D2390A"/>
    <w:rsid w:val="00D34436"/>
    <w:rsid w:val="00D34625"/>
    <w:rsid w:val="00D361A0"/>
    <w:rsid w:val="00D37969"/>
    <w:rsid w:val="00D41715"/>
    <w:rsid w:val="00D4398C"/>
    <w:rsid w:val="00D4494E"/>
    <w:rsid w:val="00D47A29"/>
    <w:rsid w:val="00D52F81"/>
    <w:rsid w:val="00D53FC8"/>
    <w:rsid w:val="00D556EC"/>
    <w:rsid w:val="00D57CC5"/>
    <w:rsid w:val="00D61163"/>
    <w:rsid w:val="00D617A9"/>
    <w:rsid w:val="00D71FB7"/>
    <w:rsid w:val="00D73816"/>
    <w:rsid w:val="00D7432C"/>
    <w:rsid w:val="00D75FA3"/>
    <w:rsid w:val="00D76197"/>
    <w:rsid w:val="00D76A3E"/>
    <w:rsid w:val="00D77344"/>
    <w:rsid w:val="00D80C0A"/>
    <w:rsid w:val="00D811D3"/>
    <w:rsid w:val="00D824F0"/>
    <w:rsid w:val="00D84694"/>
    <w:rsid w:val="00D86876"/>
    <w:rsid w:val="00D87A77"/>
    <w:rsid w:val="00D87FEF"/>
    <w:rsid w:val="00D914CD"/>
    <w:rsid w:val="00D92F2C"/>
    <w:rsid w:val="00D96301"/>
    <w:rsid w:val="00DA0136"/>
    <w:rsid w:val="00DA0849"/>
    <w:rsid w:val="00DA2107"/>
    <w:rsid w:val="00DA74FA"/>
    <w:rsid w:val="00DB1314"/>
    <w:rsid w:val="00DB1617"/>
    <w:rsid w:val="00DB3B55"/>
    <w:rsid w:val="00DB763F"/>
    <w:rsid w:val="00DC045E"/>
    <w:rsid w:val="00DC32EB"/>
    <w:rsid w:val="00DC5266"/>
    <w:rsid w:val="00DC52DD"/>
    <w:rsid w:val="00DC6BB4"/>
    <w:rsid w:val="00DD11F4"/>
    <w:rsid w:val="00DD493C"/>
    <w:rsid w:val="00DD5514"/>
    <w:rsid w:val="00DE1918"/>
    <w:rsid w:val="00DE2400"/>
    <w:rsid w:val="00DE36EB"/>
    <w:rsid w:val="00DE3982"/>
    <w:rsid w:val="00DE3D4B"/>
    <w:rsid w:val="00DE5D2D"/>
    <w:rsid w:val="00DE5F46"/>
    <w:rsid w:val="00DE70AA"/>
    <w:rsid w:val="00DF0404"/>
    <w:rsid w:val="00DF0E77"/>
    <w:rsid w:val="00DF1A05"/>
    <w:rsid w:val="00DF40D5"/>
    <w:rsid w:val="00DF63A1"/>
    <w:rsid w:val="00E04C9D"/>
    <w:rsid w:val="00E05431"/>
    <w:rsid w:val="00E064B8"/>
    <w:rsid w:val="00E06525"/>
    <w:rsid w:val="00E06C4B"/>
    <w:rsid w:val="00E0765E"/>
    <w:rsid w:val="00E11413"/>
    <w:rsid w:val="00E11768"/>
    <w:rsid w:val="00E11F4B"/>
    <w:rsid w:val="00E127AA"/>
    <w:rsid w:val="00E12B92"/>
    <w:rsid w:val="00E13210"/>
    <w:rsid w:val="00E1657E"/>
    <w:rsid w:val="00E16DA2"/>
    <w:rsid w:val="00E279EE"/>
    <w:rsid w:val="00E3069F"/>
    <w:rsid w:val="00E32E5F"/>
    <w:rsid w:val="00E35634"/>
    <w:rsid w:val="00E41052"/>
    <w:rsid w:val="00E44ABC"/>
    <w:rsid w:val="00E508FD"/>
    <w:rsid w:val="00E50EED"/>
    <w:rsid w:val="00E512C6"/>
    <w:rsid w:val="00E55C0A"/>
    <w:rsid w:val="00E57058"/>
    <w:rsid w:val="00E62CF2"/>
    <w:rsid w:val="00E63489"/>
    <w:rsid w:val="00E63A46"/>
    <w:rsid w:val="00E63EBD"/>
    <w:rsid w:val="00E64EEF"/>
    <w:rsid w:val="00E66229"/>
    <w:rsid w:val="00E703F7"/>
    <w:rsid w:val="00E732D3"/>
    <w:rsid w:val="00E741A0"/>
    <w:rsid w:val="00E75AFE"/>
    <w:rsid w:val="00E7790E"/>
    <w:rsid w:val="00E81FBD"/>
    <w:rsid w:val="00E857BF"/>
    <w:rsid w:val="00E858CC"/>
    <w:rsid w:val="00E85A90"/>
    <w:rsid w:val="00E863F7"/>
    <w:rsid w:val="00E86A40"/>
    <w:rsid w:val="00E92F28"/>
    <w:rsid w:val="00E96C08"/>
    <w:rsid w:val="00E96FFD"/>
    <w:rsid w:val="00E97806"/>
    <w:rsid w:val="00EA1064"/>
    <w:rsid w:val="00EA1211"/>
    <w:rsid w:val="00EA1ED3"/>
    <w:rsid w:val="00EA417B"/>
    <w:rsid w:val="00EA4374"/>
    <w:rsid w:val="00EA64A7"/>
    <w:rsid w:val="00EA666E"/>
    <w:rsid w:val="00EB4CCF"/>
    <w:rsid w:val="00EB6257"/>
    <w:rsid w:val="00EC66A4"/>
    <w:rsid w:val="00EC66A6"/>
    <w:rsid w:val="00EC6B67"/>
    <w:rsid w:val="00ED1D7A"/>
    <w:rsid w:val="00ED69F5"/>
    <w:rsid w:val="00EE13DF"/>
    <w:rsid w:val="00EE1782"/>
    <w:rsid w:val="00EE218D"/>
    <w:rsid w:val="00EE5AEA"/>
    <w:rsid w:val="00EE6E05"/>
    <w:rsid w:val="00EE6F58"/>
    <w:rsid w:val="00EE7CD9"/>
    <w:rsid w:val="00EF2E19"/>
    <w:rsid w:val="00EF34B8"/>
    <w:rsid w:val="00F005B0"/>
    <w:rsid w:val="00F010BF"/>
    <w:rsid w:val="00F03DF5"/>
    <w:rsid w:val="00F07216"/>
    <w:rsid w:val="00F07C3F"/>
    <w:rsid w:val="00F1191F"/>
    <w:rsid w:val="00F203C4"/>
    <w:rsid w:val="00F203DA"/>
    <w:rsid w:val="00F21000"/>
    <w:rsid w:val="00F216D2"/>
    <w:rsid w:val="00F236E9"/>
    <w:rsid w:val="00F2682F"/>
    <w:rsid w:val="00F272C8"/>
    <w:rsid w:val="00F276D4"/>
    <w:rsid w:val="00F351D4"/>
    <w:rsid w:val="00F35AA9"/>
    <w:rsid w:val="00F36FB9"/>
    <w:rsid w:val="00F37390"/>
    <w:rsid w:val="00F37789"/>
    <w:rsid w:val="00F378A6"/>
    <w:rsid w:val="00F425BE"/>
    <w:rsid w:val="00F462CD"/>
    <w:rsid w:val="00F4743A"/>
    <w:rsid w:val="00F57250"/>
    <w:rsid w:val="00F60C98"/>
    <w:rsid w:val="00F631D9"/>
    <w:rsid w:val="00F641D3"/>
    <w:rsid w:val="00F70109"/>
    <w:rsid w:val="00F765C1"/>
    <w:rsid w:val="00F77B26"/>
    <w:rsid w:val="00F80003"/>
    <w:rsid w:val="00F81F2F"/>
    <w:rsid w:val="00F84BF0"/>
    <w:rsid w:val="00F85F45"/>
    <w:rsid w:val="00F87064"/>
    <w:rsid w:val="00F87C84"/>
    <w:rsid w:val="00F902FF"/>
    <w:rsid w:val="00F90589"/>
    <w:rsid w:val="00F92E11"/>
    <w:rsid w:val="00F92FC9"/>
    <w:rsid w:val="00F9325C"/>
    <w:rsid w:val="00F93668"/>
    <w:rsid w:val="00FA677F"/>
    <w:rsid w:val="00FA6DD5"/>
    <w:rsid w:val="00FA751E"/>
    <w:rsid w:val="00FB1B87"/>
    <w:rsid w:val="00FB49E0"/>
    <w:rsid w:val="00FB5084"/>
    <w:rsid w:val="00FB5717"/>
    <w:rsid w:val="00FC1E99"/>
    <w:rsid w:val="00FC2B86"/>
    <w:rsid w:val="00FC666C"/>
    <w:rsid w:val="00FC76B2"/>
    <w:rsid w:val="00FC7CE2"/>
    <w:rsid w:val="00FD01D0"/>
    <w:rsid w:val="00FD27DC"/>
    <w:rsid w:val="00FD6850"/>
    <w:rsid w:val="00FE0AD6"/>
    <w:rsid w:val="00FE0D75"/>
    <w:rsid w:val="00FE3028"/>
    <w:rsid w:val="00FE3938"/>
    <w:rsid w:val="00FE3ACB"/>
    <w:rsid w:val="00FE5271"/>
    <w:rsid w:val="00FE5F6F"/>
    <w:rsid w:val="00FE7FB0"/>
    <w:rsid w:val="00FF2171"/>
    <w:rsid w:val="00FF3F9B"/>
    <w:rsid w:val="00FF60C0"/>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AA9"/>
    <w:rPr>
      <w:sz w:val="24"/>
      <w:szCs w:val="24"/>
    </w:rPr>
  </w:style>
  <w:style w:type="paragraph" w:styleId="Heading1">
    <w:name w:val="heading 1"/>
    <w:basedOn w:val="Normal"/>
    <w:next w:val="Normal"/>
    <w:link w:val="Heading1Char"/>
    <w:qFormat/>
    <w:rsid w:val="007D30C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2D5B33"/>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link w:val="BodyTextIndentChar"/>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1Char">
    <w:name w:val="Heading 1 Char"/>
    <w:basedOn w:val="DefaultParagraphFont"/>
    <w:link w:val="Heading1"/>
    <w:rsid w:val="007D30CC"/>
    <w:rPr>
      <w:rFonts w:asciiTheme="majorHAnsi" w:eastAsiaTheme="majorEastAsia" w:hAnsiTheme="majorHAnsi" w:cstheme="majorBidi"/>
      <w:b/>
      <w:bCs/>
      <w:color w:val="2E74B5" w:themeColor="accent1" w:themeShade="BF"/>
      <w:sz w:val="28"/>
      <w:szCs w:val="28"/>
    </w:rPr>
  </w:style>
  <w:style w:type="character" w:customStyle="1" w:styleId="BodyTextIndentChar">
    <w:name w:val="Body Text Indent Char"/>
    <w:basedOn w:val="DefaultParagraphFont"/>
    <w:link w:val="BodyTextIndent"/>
    <w:rsid w:val="007D30CC"/>
    <w:rPr>
      <w:b/>
      <w:bCs/>
      <w:sz w:val="24"/>
      <w:szCs w:val="24"/>
    </w:rPr>
  </w:style>
  <w:style w:type="paragraph" w:customStyle="1" w:styleId="NumberedList">
    <w:name w:val="Numbered List"/>
    <w:basedOn w:val="Normal"/>
    <w:qFormat/>
    <w:rsid w:val="00F35AA9"/>
    <w:pPr>
      <w:numPr>
        <w:numId w:val="1"/>
      </w:numPr>
    </w:pPr>
    <w:rPr>
      <w:rFonts w:ascii="Arial" w:hAnsi="Arial" w:cs="Arial"/>
      <w:b/>
      <w:u w:val="single"/>
    </w:rPr>
  </w:style>
  <w:style w:type="character" w:customStyle="1" w:styleId="Heading2Char">
    <w:name w:val="Heading 2 Char"/>
    <w:basedOn w:val="DefaultParagraphFont"/>
    <w:link w:val="Heading2"/>
    <w:rsid w:val="002D5B33"/>
    <w:rPr>
      <w:rFonts w:asciiTheme="majorHAnsi" w:eastAsiaTheme="majorEastAsia" w:hAnsiTheme="majorHAnsi" w:cstheme="majorBidi"/>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5AA9"/>
    <w:rPr>
      <w:sz w:val="24"/>
      <w:szCs w:val="24"/>
    </w:rPr>
  </w:style>
  <w:style w:type="paragraph" w:styleId="Heading1">
    <w:name w:val="heading 1"/>
    <w:basedOn w:val="Normal"/>
    <w:next w:val="Normal"/>
    <w:link w:val="Heading1Char"/>
    <w:qFormat/>
    <w:rsid w:val="007D30C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2D5B33"/>
    <w:pPr>
      <w:keepNext/>
      <w:keepLines/>
      <w:spacing w:before="20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link w:val="BodyTextIndentChar"/>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1Char">
    <w:name w:val="Heading 1 Char"/>
    <w:basedOn w:val="DefaultParagraphFont"/>
    <w:link w:val="Heading1"/>
    <w:rsid w:val="007D30CC"/>
    <w:rPr>
      <w:rFonts w:asciiTheme="majorHAnsi" w:eastAsiaTheme="majorEastAsia" w:hAnsiTheme="majorHAnsi" w:cstheme="majorBidi"/>
      <w:b/>
      <w:bCs/>
      <w:color w:val="2E74B5" w:themeColor="accent1" w:themeShade="BF"/>
      <w:sz w:val="28"/>
      <w:szCs w:val="28"/>
    </w:rPr>
  </w:style>
  <w:style w:type="character" w:customStyle="1" w:styleId="BodyTextIndentChar">
    <w:name w:val="Body Text Indent Char"/>
    <w:basedOn w:val="DefaultParagraphFont"/>
    <w:link w:val="BodyTextIndent"/>
    <w:rsid w:val="007D30CC"/>
    <w:rPr>
      <w:b/>
      <w:bCs/>
      <w:sz w:val="24"/>
      <w:szCs w:val="24"/>
    </w:rPr>
  </w:style>
  <w:style w:type="paragraph" w:customStyle="1" w:styleId="NumberedList">
    <w:name w:val="Numbered List"/>
    <w:basedOn w:val="Normal"/>
    <w:qFormat/>
    <w:rsid w:val="00F35AA9"/>
    <w:pPr>
      <w:numPr>
        <w:numId w:val="1"/>
      </w:numPr>
    </w:pPr>
    <w:rPr>
      <w:rFonts w:ascii="Arial" w:hAnsi="Arial" w:cs="Arial"/>
      <w:b/>
      <w:u w:val="single"/>
    </w:rPr>
  </w:style>
  <w:style w:type="character" w:customStyle="1" w:styleId="Heading2Char">
    <w:name w:val="Heading 2 Char"/>
    <w:basedOn w:val="DefaultParagraphFont"/>
    <w:link w:val="Heading2"/>
    <w:rsid w:val="002D5B33"/>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7003">
      <w:bodyDiv w:val="1"/>
      <w:marLeft w:val="0"/>
      <w:marRight w:val="0"/>
      <w:marTop w:val="0"/>
      <w:marBottom w:val="0"/>
      <w:divBdr>
        <w:top w:val="none" w:sz="0" w:space="0" w:color="auto"/>
        <w:left w:val="none" w:sz="0" w:space="0" w:color="auto"/>
        <w:bottom w:val="none" w:sz="0" w:space="0" w:color="auto"/>
        <w:right w:val="none" w:sz="0" w:space="0" w:color="auto"/>
      </w:divBdr>
    </w:div>
    <w:div w:id="100806961">
      <w:bodyDiv w:val="1"/>
      <w:marLeft w:val="0"/>
      <w:marRight w:val="0"/>
      <w:marTop w:val="0"/>
      <w:marBottom w:val="0"/>
      <w:divBdr>
        <w:top w:val="none" w:sz="0" w:space="0" w:color="auto"/>
        <w:left w:val="none" w:sz="0" w:space="0" w:color="auto"/>
        <w:bottom w:val="none" w:sz="0" w:space="0" w:color="auto"/>
        <w:right w:val="none" w:sz="0" w:space="0" w:color="auto"/>
      </w:divBdr>
    </w:div>
    <w:div w:id="221526433">
      <w:bodyDiv w:val="1"/>
      <w:marLeft w:val="0"/>
      <w:marRight w:val="0"/>
      <w:marTop w:val="0"/>
      <w:marBottom w:val="0"/>
      <w:divBdr>
        <w:top w:val="none" w:sz="0" w:space="0" w:color="auto"/>
        <w:left w:val="none" w:sz="0" w:space="0" w:color="auto"/>
        <w:bottom w:val="none" w:sz="0" w:space="0" w:color="auto"/>
        <w:right w:val="none" w:sz="0" w:space="0" w:color="auto"/>
      </w:divBdr>
    </w:div>
    <w:div w:id="241987727">
      <w:bodyDiv w:val="1"/>
      <w:marLeft w:val="0"/>
      <w:marRight w:val="0"/>
      <w:marTop w:val="0"/>
      <w:marBottom w:val="0"/>
      <w:divBdr>
        <w:top w:val="none" w:sz="0" w:space="0" w:color="auto"/>
        <w:left w:val="none" w:sz="0" w:space="0" w:color="auto"/>
        <w:bottom w:val="none" w:sz="0" w:space="0" w:color="auto"/>
        <w:right w:val="none" w:sz="0" w:space="0" w:color="auto"/>
      </w:divBdr>
    </w:div>
    <w:div w:id="478156278">
      <w:bodyDiv w:val="1"/>
      <w:marLeft w:val="0"/>
      <w:marRight w:val="0"/>
      <w:marTop w:val="0"/>
      <w:marBottom w:val="0"/>
      <w:divBdr>
        <w:top w:val="none" w:sz="0" w:space="0" w:color="auto"/>
        <w:left w:val="none" w:sz="0" w:space="0" w:color="auto"/>
        <w:bottom w:val="none" w:sz="0" w:space="0" w:color="auto"/>
        <w:right w:val="none" w:sz="0" w:space="0" w:color="auto"/>
      </w:divBdr>
    </w:div>
    <w:div w:id="550923879">
      <w:bodyDiv w:val="1"/>
      <w:marLeft w:val="0"/>
      <w:marRight w:val="0"/>
      <w:marTop w:val="0"/>
      <w:marBottom w:val="0"/>
      <w:divBdr>
        <w:top w:val="none" w:sz="0" w:space="0" w:color="auto"/>
        <w:left w:val="none" w:sz="0" w:space="0" w:color="auto"/>
        <w:bottom w:val="none" w:sz="0" w:space="0" w:color="auto"/>
        <w:right w:val="none" w:sz="0" w:space="0" w:color="auto"/>
      </w:divBdr>
    </w:div>
    <w:div w:id="652879620">
      <w:bodyDiv w:val="1"/>
      <w:marLeft w:val="0"/>
      <w:marRight w:val="0"/>
      <w:marTop w:val="0"/>
      <w:marBottom w:val="0"/>
      <w:divBdr>
        <w:top w:val="none" w:sz="0" w:space="0" w:color="auto"/>
        <w:left w:val="none" w:sz="0" w:space="0" w:color="auto"/>
        <w:bottom w:val="none" w:sz="0" w:space="0" w:color="auto"/>
        <w:right w:val="none" w:sz="0" w:space="0" w:color="auto"/>
      </w:divBdr>
    </w:div>
    <w:div w:id="742264095">
      <w:bodyDiv w:val="1"/>
      <w:marLeft w:val="0"/>
      <w:marRight w:val="0"/>
      <w:marTop w:val="0"/>
      <w:marBottom w:val="0"/>
      <w:divBdr>
        <w:top w:val="none" w:sz="0" w:space="0" w:color="auto"/>
        <w:left w:val="none" w:sz="0" w:space="0" w:color="auto"/>
        <w:bottom w:val="none" w:sz="0" w:space="0" w:color="auto"/>
        <w:right w:val="none" w:sz="0" w:space="0" w:color="auto"/>
      </w:divBdr>
    </w:div>
    <w:div w:id="746726694">
      <w:bodyDiv w:val="1"/>
      <w:marLeft w:val="0"/>
      <w:marRight w:val="0"/>
      <w:marTop w:val="0"/>
      <w:marBottom w:val="0"/>
      <w:divBdr>
        <w:top w:val="none" w:sz="0" w:space="0" w:color="auto"/>
        <w:left w:val="none" w:sz="0" w:space="0" w:color="auto"/>
        <w:bottom w:val="none" w:sz="0" w:space="0" w:color="auto"/>
        <w:right w:val="none" w:sz="0" w:space="0" w:color="auto"/>
      </w:divBdr>
    </w:div>
    <w:div w:id="838694532">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sChild>
        <w:div w:id="1234118603">
          <w:marLeft w:val="0"/>
          <w:marRight w:val="0"/>
          <w:marTop w:val="0"/>
          <w:marBottom w:val="0"/>
          <w:divBdr>
            <w:top w:val="none" w:sz="0" w:space="0" w:color="auto"/>
            <w:left w:val="none" w:sz="0" w:space="0" w:color="auto"/>
            <w:bottom w:val="none" w:sz="0" w:space="0" w:color="auto"/>
            <w:right w:val="none" w:sz="0" w:space="0" w:color="auto"/>
          </w:divBdr>
          <w:divsChild>
            <w:div w:id="1026716779">
              <w:marLeft w:val="0"/>
              <w:marRight w:val="0"/>
              <w:marTop w:val="0"/>
              <w:marBottom w:val="0"/>
              <w:divBdr>
                <w:top w:val="none" w:sz="0" w:space="0" w:color="auto"/>
                <w:left w:val="none" w:sz="0" w:space="0" w:color="auto"/>
                <w:bottom w:val="none" w:sz="0" w:space="0" w:color="auto"/>
                <w:right w:val="none" w:sz="0" w:space="0" w:color="auto"/>
              </w:divBdr>
              <w:divsChild>
                <w:div w:id="1757432722">
                  <w:marLeft w:val="0"/>
                  <w:marRight w:val="0"/>
                  <w:marTop w:val="0"/>
                  <w:marBottom w:val="0"/>
                  <w:divBdr>
                    <w:top w:val="none" w:sz="0" w:space="0" w:color="auto"/>
                    <w:left w:val="none" w:sz="0" w:space="0" w:color="auto"/>
                    <w:bottom w:val="none" w:sz="0" w:space="0" w:color="auto"/>
                    <w:right w:val="none" w:sz="0" w:space="0" w:color="auto"/>
                  </w:divBdr>
                  <w:divsChild>
                    <w:div w:id="20503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38031">
      <w:bodyDiv w:val="1"/>
      <w:marLeft w:val="0"/>
      <w:marRight w:val="0"/>
      <w:marTop w:val="0"/>
      <w:marBottom w:val="0"/>
      <w:divBdr>
        <w:top w:val="none" w:sz="0" w:space="0" w:color="auto"/>
        <w:left w:val="none" w:sz="0" w:space="0" w:color="auto"/>
        <w:bottom w:val="none" w:sz="0" w:space="0" w:color="auto"/>
        <w:right w:val="none" w:sz="0" w:space="0" w:color="auto"/>
      </w:divBdr>
    </w:div>
    <w:div w:id="1231424031">
      <w:bodyDiv w:val="1"/>
      <w:marLeft w:val="0"/>
      <w:marRight w:val="0"/>
      <w:marTop w:val="0"/>
      <w:marBottom w:val="0"/>
      <w:divBdr>
        <w:top w:val="none" w:sz="0" w:space="0" w:color="auto"/>
        <w:left w:val="none" w:sz="0" w:space="0" w:color="auto"/>
        <w:bottom w:val="none" w:sz="0" w:space="0" w:color="auto"/>
        <w:right w:val="none" w:sz="0" w:space="0" w:color="auto"/>
      </w:divBdr>
    </w:div>
    <w:div w:id="1280726601">
      <w:bodyDiv w:val="1"/>
      <w:marLeft w:val="0"/>
      <w:marRight w:val="0"/>
      <w:marTop w:val="0"/>
      <w:marBottom w:val="0"/>
      <w:divBdr>
        <w:top w:val="none" w:sz="0" w:space="0" w:color="auto"/>
        <w:left w:val="none" w:sz="0" w:space="0" w:color="auto"/>
        <w:bottom w:val="none" w:sz="0" w:space="0" w:color="auto"/>
        <w:right w:val="none" w:sz="0" w:space="0" w:color="auto"/>
      </w:divBdr>
    </w:div>
    <w:div w:id="1299535276">
      <w:bodyDiv w:val="1"/>
      <w:marLeft w:val="0"/>
      <w:marRight w:val="0"/>
      <w:marTop w:val="0"/>
      <w:marBottom w:val="0"/>
      <w:divBdr>
        <w:top w:val="none" w:sz="0" w:space="0" w:color="auto"/>
        <w:left w:val="none" w:sz="0" w:space="0" w:color="auto"/>
        <w:bottom w:val="none" w:sz="0" w:space="0" w:color="auto"/>
        <w:right w:val="none" w:sz="0" w:space="0" w:color="auto"/>
      </w:divBdr>
    </w:div>
    <w:div w:id="1470513838">
      <w:bodyDiv w:val="1"/>
      <w:marLeft w:val="0"/>
      <w:marRight w:val="0"/>
      <w:marTop w:val="0"/>
      <w:marBottom w:val="0"/>
      <w:divBdr>
        <w:top w:val="none" w:sz="0" w:space="0" w:color="auto"/>
        <w:left w:val="none" w:sz="0" w:space="0" w:color="auto"/>
        <w:bottom w:val="none" w:sz="0" w:space="0" w:color="auto"/>
        <w:right w:val="none" w:sz="0" w:space="0" w:color="auto"/>
      </w:divBdr>
    </w:div>
    <w:div w:id="1471359121">
      <w:bodyDiv w:val="1"/>
      <w:marLeft w:val="0"/>
      <w:marRight w:val="0"/>
      <w:marTop w:val="0"/>
      <w:marBottom w:val="0"/>
      <w:divBdr>
        <w:top w:val="none" w:sz="0" w:space="0" w:color="auto"/>
        <w:left w:val="none" w:sz="0" w:space="0" w:color="auto"/>
        <w:bottom w:val="none" w:sz="0" w:space="0" w:color="auto"/>
        <w:right w:val="none" w:sz="0" w:space="0" w:color="auto"/>
      </w:divBdr>
    </w:div>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 w:id="1625574128">
      <w:bodyDiv w:val="1"/>
      <w:marLeft w:val="0"/>
      <w:marRight w:val="0"/>
      <w:marTop w:val="0"/>
      <w:marBottom w:val="0"/>
      <w:divBdr>
        <w:top w:val="none" w:sz="0" w:space="0" w:color="auto"/>
        <w:left w:val="none" w:sz="0" w:space="0" w:color="auto"/>
        <w:bottom w:val="none" w:sz="0" w:space="0" w:color="auto"/>
        <w:right w:val="none" w:sz="0" w:space="0" w:color="auto"/>
      </w:divBdr>
    </w:div>
    <w:div w:id="1779179948">
      <w:bodyDiv w:val="1"/>
      <w:marLeft w:val="0"/>
      <w:marRight w:val="0"/>
      <w:marTop w:val="0"/>
      <w:marBottom w:val="0"/>
      <w:divBdr>
        <w:top w:val="none" w:sz="0" w:space="0" w:color="auto"/>
        <w:left w:val="none" w:sz="0" w:space="0" w:color="auto"/>
        <w:bottom w:val="none" w:sz="0" w:space="0" w:color="auto"/>
        <w:right w:val="none" w:sz="0" w:space="0" w:color="auto"/>
      </w:divBdr>
    </w:div>
    <w:div w:id="1783766593">
      <w:bodyDiv w:val="1"/>
      <w:marLeft w:val="0"/>
      <w:marRight w:val="0"/>
      <w:marTop w:val="0"/>
      <w:marBottom w:val="0"/>
      <w:divBdr>
        <w:top w:val="none" w:sz="0" w:space="0" w:color="auto"/>
        <w:left w:val="none" w:sz="0" w:space="0" w:color="auto"/>
        <w:bottom w:val="none" w:sz="0" w:space="0" w:color="auto"/>
        <w:right w:val="none" w:sz="0" w:space="0" w:color="auto"/>
      </w:divBdr>
    </w:div>
    <w:div w:id="1805149345">
      <w:bodyDiv w:val="1"/>
      <w:marLeft w:val="0"/>
      <w:marRight w:val="0"/>
      <w:marTop w:val="0"/>
      <w:marBottom w:val="0"/>
      <w:divBdr>
        <w:top w:val="none" w:sz="0" w:space="0" w:color="auto"/>
        <w:left w:val="none" w:sz="0" w:space="0" w:color="auto"/>
        <w:bottom w:val="none" w:sz="0" w:space="0" w:color="auto"/>
        <w:right w:val="none" w:sz="0" w:space="0" w:color="auto"/>
      </w:divBdr>
    </w:div>
    <w:div w:id="1859001277">
      <w:bodyDiv w:val="1"/>
      <w:marLeft w:val="0"/>
      <w:marRight w:val="0"/>
      <w:marTop w:val="0"/>
      <w:marBottom w:val="0"/>
      <w:divBdr>
        <w:top w:val="none" w:sz="0" w:space="0" w:color="auto"/>
        <w:left w:val="none" w:sz="0" w:space="0" w:color="auto"/>
        <w:bottom w:val="none" w:sz="0" w:space="0" w:color="auto"/>
        <w:right w:val="none" w:sz="0" w:space="0" w:color="auto"/>
      </w:divBdr>
    </w:div>
    <w:div w:id="1933125688">
      <w:bodyDiv w:val="1"/>
      <w:marLeft w:val="0"/>
      <w:marRight w:val="0"/>
      <w:marTop w:val="0"/>
      <w:marBottom w:val="0"/>
      <w:divBdr>
        <w:top w:val="none" w:sz="0" w:space="0" w:color="auto"/>
        <w:left w:val="none" w:sz="0" w:space="0" w:color="auto"/>
        <w:bottom w:val="none" w:sz="0" w:space="0" w:color="auto"/>
        <w:right w:val="none" w:sz="0" w:space="0" w:color="auto"/>
      </w:divBdr>
    </w:div>
    <w:div w:id="19561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Federal-Regulation-Notices.html" TargetMode="External"/><Relationship Id="rId13" Type="http://schemas.openxmlformats.org/officeDocument/2006/relationships/hyperlink" Target="https://www.cms.gov/Medicare/Medicare-Fee-for-Service-Payment/PhysicianFeeSched/Downloads/2020-Anesthesia-Conversion-Factors.zip" TargetMode="External"/><Relationship Id="rId18" Type="http://schemas.openxmlformats.org/officeDocument/2006/relationships/header" Target="header1.xml"/><Relationship Id="rId26" Type="http://schemas.openxmlformats.org/officeDocument/2006/relationships/customXml" Target="../customXml/item1.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ms.gov/Medicare/Medicare-Fee-for-Service-Payment/PhysicianFeeSched/PFS-Federal-Regulation-Notices-Items/CMS-1715-F" TargetMode="External"/><Relationship Id="rId17" Type="http://schemas.openxmlformats.org/officeDocument/2006/relationships/hyperlink" Target="https://www.cms.gov/Medicare/Medicare-Fee-for-Service-Payment/PhysicianFeeSched/Downloads/2020-Anesthesia-Conversion-Factors.zi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ms.gov/Medicare/Medicare-Fee-for-Service-Payment/FeeScheduleGenInfo/inde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ommerce.ama-assn.org/stor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ms.gov/Medicare/Medicare-Fee-for-Service-Payment/FeeScheduleGenInfo/index" TargetMode="Externa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hyperlink" Target="https://www.cms.gov/Center/Provider-Type/Anesthesiologists-Center.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cms.gov/Medicare/Medicare-Fee-for-Service-Payment/PhysicianFeeSched/PFS-Federal-Regulation-Notices" TargetMode="External"/><Relationship Id="rId14" Type="http://schemas.openxmlformats.org/officeDocument/2006/relationships/hyperlink" Target="https://www.cms.gov/medicaremedicare-fee-service-paymentphysicianfeeschedpfs-relative-value-files/rvu20a" TargetMode="External"/><Relationship Id="rId22" Type="http://schemas.openxmlformats.org/officeDocument/2006/relationships/header" Target="header3.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5C7076-5F35-40F9-8E66-DE35571600B0}"/>
</file>

<file path=customXml/itemProps2.xml><?xml version="1.0" encoding="utf-8"?>
<ds:datastoreItem xmlns:ds="http://schemas.openxmlformats.org/officeDocument/2006/customXml" ds:itemID="{888C7F6F-4DDF-4C07-B050-B907C1C79FED}"/>
</file>

<file path=customXml/itemProps3.xml><?xml version="1.0" encoding="utf-8"?>
<ds:datastoreItem xmlns:ds="http://schemas.openxmlformats.org/officeDocument/2006/customXml" ds:itemID="{ABA1B258-3840-4993-A025-E4954AEAC3CC}"/>
</file>

<file path=docProps/app.xml><?xml version="1.0" encoding="utf-8"?>
<Properties xmlns="http://schemas.openxmlformats.org/officeDocument/2006/extended-properties" xmlns:vt="http://schemas.openxmlformats.org/officeDocument/2006/docPropsVTypes">
  <Template>Normal.dotm</Template>
  <TotalTime>0</TotalTime>
  <Pages>9</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OMFS Update for Physician and Non-Physician Practitioner Services Explanation of Changes</vt:lpstr>
    </vt:vector>
  </TitlesOfParts>
  <LinksUpToDate>false</LinksUpToDate>
  <CharactersWithSpaces>15714</CharactersWithSpaces>
  <SharedDoc>false</SharedDoc>
  <HLinks>
    <vt:vector size="24" baseType="variant">
      <vt:variant>
        <vt:i4>3342450</vt:i4>
      </vt:variant>
      <vt:variant>
        <vt:i4>9</vt:i4>
      </vt:variant>
      <vt:variant>
        <vt:i4>0</vt:i4>
      </vt:variant>
      <vt:variant>
        <vt:i4>5</vt:i4>
      </vt:variant>
      <vt:variant>
        <vt:lpwstr>https://www.cms.gov/Medicare/Medicare-Fee-for-Service-Payment/ProspMedicareFeeSvcPmtGen/Downloads/Zip-Code-to-Carrier-Locality.zip</vt:lpwstr>
      </vt:variant>
      <vt:variant>
        <vt:lpwstr/>
      </vt:variant>
      <vt:variant>
        <vt:i4>2293871</vt:i4>
      </vt:variant>
      <vt:variant>
        <vt:i4>6</vt:i4>
      </vt:variant>
      <vt:variant>
        <vt:i4>0</vt:i4>
      </vt:variant>
      <vt:variant>
        <vt:i4>5</vt:i4>
      </vt:variant>
      <vt:variant>
        <vt:lpwstr>https://www.cms.gov/Center/Provider-Type/Anesthesiologists-Center.html</vt:lpwstr>
      </vt:variant>
      <vt:variant>
        <vt:lpwstr/>
      </vt:variant>
      <vt:variant>
        <vt:i4>7405608</vt:i4>
      </vt:variant>
      <vt:variant>
        <vt:i4>3</vt:i4>
      </vt:variant>
      <vt:variant>
        <vt:i4>0</vt:i4>
      </vt:variant>
      <vt:variant>
        <vt:i4>5</vt:i4>
      </vt:variant>
      <vt:variant>
        <vt:lpwstr>https://www.cms.gov/Medicare/Medicare-Fee-for-Service-Payment/PhysicianFeeSched/PFS-Federal-Regulation-Notices.html?DLSort=2&amp;DLEntries=10&amp;DLPage=1&amp;DLSortDir=descending</vt:lpwstr>
      </vt:variant>
      <vt:variant>
        <vt:lpwstr/>
      </vt:variant>
      <vt:variant>
        <vt:i4>2162792</vt:i4>
      </vt:variant>
      <vt:variant>
        <vt:i4>0</vt:i4>
      </vt:variant>
      <vt:variant>
        <vt:i4>0</vt:i4>
      </vt:variant>
      <vt:variant>
        <vt:i4>5</vt:i4>
      </vt:variant>
      <vt:variant>
        <vt:lpwstr>https://www.cms.gov/Medicare/Medicare-Fee-for-Service-Payment/PhysicianFeeSched/PFS-Federal-Regulation-Notices.html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OMFS Update for Physician and Non-Physician Practitioner Services Explanation of Changes</dc:title>
  <dc:subject/>
  <dc:creator/>
  <cp:keywords/>
  <cp:lastModifiedBy/>
  <cp:revision>1</cp:revision>
  <dcterms:created xsi:type="dcterms:W3CDTF">2019-11-22T17:15:00Z</dcterms:created>
  <dcterms:modified xsi:type="dcterms:W3CDTF">2021-04-29T12:03:00Z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