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77777777" w:rsidR="003C169B" w:rsidRPr="00D045E6" w:rsidRDefault="003C169B" w:rsidP="00AA43C8">
      <w:pPr>
        <w:spacing w:before="240"/>
        <w:ind w:left="-720" w:right="-720"/>
        <w:jc w:val="center"/>
        <w:outlineLvl w:val="0"/>
        <w:rPr>
          <w:rFonts w:cs="Arial"/>
          <w:szCs w:val="24"/>
        </w:rPr>
      </w:pPr>
      <w:bookmarkStart w:id="0" w:name="_GoBack"/>
      <w:bookmarkEnd w:id="0"/>
      <w:r w:rsidRPr="00D045E6">
        <w:rPr>
          <w:rFonts w:cs="Arial"/>
          <w:szCs w:val="24"/>
        </w:rPr>
        <w:t>State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0A7AF157" w14:textId="77777777" w:rsidR="00F85472" w:rsidRDefault="00F85472">
      <w:pPr>
        <w:ind w:left="-720" w:right="-720"/>
        <w:jc w:val="center"/>
        <w:outlineLvl w:val="0"/>
        <w:rPr>
          <w:rFonts w:cs="Arial"/>
          <w:szCs w:val="24"/>
        </w:rPr>
      </w:pPr>
    </w:p>
    <w:p w14:paraId="2989424A" w14:textId="77777777" w:rsidR="003C169B" w:rsidRDefault="009806EA" w:rsidP="001907C1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76C1001C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98EE9" w14:textId="5BEAD15E" w:rsidR="008E1A86" w:rsidRPr="00D045E6" w:rsidRDefault="00BD6DAA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Additional </w:t>
      </w:r>
      <w:r w:rsidR="008E1A86" w:rsidRPr="00D045E6">
        <w:rPr>
          <w:rFonts w:cs="Arial"/>
          <w:b/>
          <w:bCs/>
          <w:szCs w:val="24"/>
        </w:rPr>
        <w:t>Order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f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zCs w:val="24"/>
        </w:rPr>
        <w:t>the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A</w:t>
      </w:r>
      <w:r w:rsidR="008E1A86" w:rsidRPr="00D045E6">
        <w:rPr>
          <w:rFonts w:cs="Arial"/>
          <w:b/>
          <w:bCs/>
          <w:szCs w:val="24"/>
        </w:rPr>
        <w:t>d</w:t>
      </w:r>
      <w:r w:rsidR="008E1A86" w:rsidRPr="00D045E6">
        <w:rPr>
          <w:rFonts w:cs="Arial"/>
          <w:b/>
          <w:bCs/>
          <w:spacing w:val="-4"/>
          <w:szCs w:val="24"/>
        </w:rPr>
        <w:t>m</w:t>
      </w:r>
      <w:r w:rsidR="008E1A86" w:rsidRPr="00D045E6">
        <w:rPr>
          <w:rFonts w:cs="Arial"/>
          <w:b/>
          <w:bCs/>
          <w:spacing w:val="1"/>
          <w:szCs w:val="24"/>
        </w:rPr>
        <w:t>i</w:t>
      </w:r>
      <w:r w:rsidR="008E1A86" w:rsidRPr="00D045E6">
        <w:rPr>
          <w:rFonts w:cs="Arial"/>
          <w:b/>
          <w:bCs/>
          <w:szCs w:val="24"/>
        </w:rPr>
        <w:t>n</w:t>
      </w:r>
      <w:r w:rsidR="008E1A86" w:rsidRPr="00D045E6">
        <w:rPr>
          <w:rFonts w:cs="Arial"/>
          <w:b/>
          <w:bCs/>
          <w:spacing w:val="1"/>
          <w:szCs w:val="24"/>
        </w:rPr>
        <w:t>is</w:t>
      </w:r>
      <w:r w:rsidR="008E1A86" w:rsidRPr="00D045E6">
        <w:rPr>
          <w:rFonts w:cs="Arial"/>
          <w:b/>
          <w:bCs/>
          <w:spacing w:val="-3"/>
          <w:szCs w:val="24"/>
        </w:rPr>
        <w:t>t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1"/>
          <w:szCs w:val="24"/>
        </w:rPr>
        <w:t>a</w:t>
      </w:r>
      <w:r w:rsidR="008E1A86" w:rsidRPr="00D045E6">
        <w:rPr>
          <w:rFonts w:cs="Arial"/>
          <w:b/>
          <w:bCs/>
          <w:spacing w:val="-3"/>
          <w:szCs w:val="24"/>
        </w:rPr>
        <w:t>t</w:t>
      </w:r>
      <w:r w:rsidR="008E1A86" w:rsidRPr="00D045E6">
        <w:rPr>
          <w:rFonts w:cs="Arial"/>
          <w:b/>
          <w:bCs/>
          <w:spacing w:val="-2"/>
          <w:szCs w:val="24"/>
        </w:rPr>
        <w:t>i</w:t>
      </w:r>
      <w:r w:rsidR="008E1A86" w:rsidRPr="00D045E6">
        <w:rPr>
          <w:rFonts w:cs="Arial"/>
          <w:b/>
          <w:bCs/>
          <w:spacing w:val="1"/>
          <w:szCs w:val="24"/>
        </w:rPr>
        <w:t>v</w:t>
      </w:r>
      <w:r w:rsidR="008E1A86" w:rsidRPr="00D045E6">
        <w:rPr>
          <w:rFonts w:cs="Arial"/>
          <w:b/>
          <w:bCs/>
          <w:szCs w:val="24"/>
        </w:rPr>
        <w:t>e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-2"/>
          <w:szCs w:val="24"/>
        </w:rPr>
        <w:t>D</w:t>
      </w:r>
      <w:r w:rsidR="008E1A86" w:rsidRPr="00D045E6">
        <w:rPr>
          <w:rFonts w:cs="Arial"/>
          <w:b/>
          <w:bCs/>
          <w:spacing w:val="1"/>
          <w:szCs w:val="24"/>
        </w:rPr>
        <w:t>i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-3"/>
          <w:szCs w:val="24"/>
        </w:rPr>
        <w:t>e</w:t>
      </w:r>
      <w:r w:rsidR="008E1A86" w:rsidRPr="00D045E6">
        <w:rPr>
          <w:rFonts w:cs="Arial"/>
          <w:b/>
          <w:bCs/>
          <w:szCs w:val="24"/>
        </w:rPr>
        <w:t>ct</w:t>
      </w:r>
      <w:r w:rsidR="008E1A86" w:rsidRPr="00D045E6">
        <w:rPr>
          <w:rFonts w:cs="Arial"/>
          <w:b/>
          <w:bCs/>
          <w:spacing w:val="-2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r</w:t>
      </w:r>
      <w:r w:rsidR="008E1A86" w:rsidRPr="00D045E6">
        <w:rPr>
          <w:rFonts w:cs="Arial"/>
          <w:b/>
          <w:bCs/>
          <w:spacing w:val="-1"/>
          <w:szCs w:val="24"/>
        </w:rPr>
        <w:t xml:space="preserve"> </w:t>
      </w:r>
      <w:r w:rsidR="008E1A86" w:rsidRPr="00D045E6">
        <w:rPr>
          <w:rFonts w:cs="Arial"/>
          <w:b/>
          <w:bCs/>
          <w:spacing w:val="1"/>
          <w:szCs w:val="24"/>
        </w:rPr>
        <w:t>o</w:t>
      </w:r>
      <w:r w:rsidR="008E1A86" w:rsidRPr="00D045E6">
        <w:rPr>
          <w:rFonts w:cs="Arial"/>
          <w:b/>
          <w:bCs/>
          <w:szCs w:val="24"/>
        </w:rPr>
        <w:t>f</w:t>
      </w:r>
      <w:r w:rsidR="008E1A86" w:rsidRPr="00D045E6">
        <w:rPr>
          <w:rFonts w:cs="Arial"/>
          <w:b/>
          <w:bCs/>
          <w:spacing w:val="-3"/>
          <w:szCs w:val="24"/>
        </w:rPr>
        <w:t xml:space="preserve"> </w:t>
      </w:r>
      <w:r w:rsidR="008E1A86" w:rsidRPr="00D045E6">
        <w:rPr>
          <w:rFonts w:cs="Arial"/>
          <w:b/>
          <w:bCs/>
          <w:szCs w:val="24"/>
        </w:rPr>
        <w:t>the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33A1C582" w14:textId="16B12E8E" w:rsidR="009146DC" w:rsidRPr="009146DC" w:rsidRDefault="00F97B1B" w:rsidP="009146DC">
      <w:pPr>
        <w:kinsoku w:val="0"/>
        <w:ind w:left="40"/>
        <w:jc w:val="center"/>
        <w:textAlignment w:val="auto"/>
        <w:rPr>
          <w:rFonts w:cs="Arial"/>
          <w:b/>
          <w:bCs/>
          <w:spacing w:val="-3"/>
          <w:szCs w:val="24"/>
        </w:rPr>
      </w:pPr>
      <w:r>
        <w:rPr>
          <w:rFonts w:cs="Arial"/>
          <w:b/>
          <w:bCs/>
          <w:spacing w:val="-3"/>
          <w:szCs w:val="24"/>
        </w:rPr>
        <w:t>(</w:t>
      </w:r>
      <w:r w:rsidR="009146DC" w:rsidRPr="009146DC">
        <w:rPr>
          <w:rFonts w:cs="Arial"/>
          <w:b/>
          <w:bCs/>
          <w:spacing w:val="-3"/>
          <w:szCs w:val="24"/>
        </w:rPr>
        <w:t>Official Medical Fee Schedule</w:t>
      </w:r>
    </w:p>
    <w:p w14:paraId="6022E64A" w14:textId="77777777" w:rsidR="009146DC" w:rsidRPr="009146DC" w:rsidRDefault="009146DC" w:rsidP="009146DC">
      <w:pPr>
        <w:kinsoku w:val="0"/>
        <w:ind w:left="40"/>
        <w:jc w:val="center"/>
        <w:textAlignment w:val="auto"/>
        <w:rPr>
          <w:rFonts w:cs="Arial"/>
          <w:b/>
          <w:bCs/>
          <w:spacing w:val="-3"/>
          <w:szCs w:val="24"/>
        </w:rPr>
      </w:pPr>
      <w:r w:rsidRPr="009146DC">
        <w:rPr>
          <w:rFonts w:cs="Arial"/>
          <w:b/>
          <w:bCs/>
          <w:spacing w:val="-3"/>
          <w:szCs w:val="24"/>
        </w:rPr>
        <w:t>– Pathology and Clinical Laboratory Fee Schedule</w:t>
      </w:r>
    </w:p>
    <w:p w14:paraId="71687A41" w14:textId="34DC5ED8" w:rsidR="009146DC" w:rsidRPr="006158D5" w:rsidRDefault="009146DC" w:rsidP="00F45522">
      <w:pPr>
        <w:kinsoku w:val="0"/>
        <w:spacing w:after="240"/>
        <w:ind w:left="43"/>
        <w:jc w:val="center"/>
        <w:textAlignment w:val="auto"/>
        <w:rPr>
          <w:rFonts w:cs="Arial"/>
          <w:szCs w:val="24"/>
        </w:rPr>
      </w:pPr>
      <w:r w:rsidRPr="009146DC">
        <w:rPr>
          <w:rFonts w:cs="Arial"/>
          <w:b/>
          <w:bCs/>
          <w:szCs w:val="24"/>
        </w:rPr>
        <w:t xml:space="preserve">Effective for Services Rendered on or after </w:t>
      </w:r>
      <w:r w:rsidR="0053066C">
        <w:rPr>
          <w:rFonts w:cs="Arial"/>
          <w:b/>
          <w:bCs/>
          <w:szCs w:val="24"/>
        </w:rPr>
        <w:t>April</w:t>
      </w:r>
      <w:r w:rsidRPr="009146DC">
        <w:rPr>
          <w:rFonts w:cs="Arial"/>
          <w:b/>
          <w:bCs/>
          <w:szCs w:val="24"/>
        </w:rPr>
        <w:t xml:space="preserve"> 1, </w:t>
      </w:r>
      <w:r w:rsidR="006E10E3">
        <w:rPr>
          <w:rFonts w:cs="Arial"/>
          <w:b/>
          <w:bCs/>
          <w:szCs w:val="24"/>
        </w:rPr>
        <w:t>202</w:t>
      </w:r>
      <w:r w:rsidR="00CE51A6">
        <w:rPr>
          <w:rFonts w:cs="Arial"/>
          <w:b/>
          <w:bCs/>
          <w:szCs w:val="24"/>
        </w:rPr>
        <w:t>2</w:t>
      </w:r>
      <w:r w:rsidR="008E1A86">
        <w:rPr>
          <w:rFonts w:cs="Arial"/>
          <w:b/>
          <w:bCs/>
          <w:szCs w:val="24"/>
        </w:rPr>
        <w:t>)</w:t>
      </w:r>
    </w:p>
    <w:p w14:paraId="648242E8" w14:textId="052F4BA8" w:rsidR="00C05F7E" w:rsidRDefault="009146DC" w:rsidP="00AA43C8">
      <w:pPr>
        <w:spacing w:before="480" w:after="240"/>
        <w:ind w:left="-720" w:right="-72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Pursuant to Labor Code section 5307.1, subdivision (g), the Administrative Director of the Division of Workers’ Compensation </w:t>
      </w:r>
      <w:r w:rsidR="00C05F7E">
        <w:rPr>
          <w:rFonts w:cs="Arial"/>
          <w:szCs w:val="24"/>
        </w:rPr>
        <w:t xml:space="preserve">issued an </w:t>
      </w:r>
      <w:r w:rsidRPr="006158D5">
        <w:rPr>
          <w:rFonts w:cs="Arial"/>
          <w:szCs w:val="24"/>
        </w:rPr>
        <w:t>order</w:t>
      </w:r>
      <w:r w:rsidR="00C05F7E">
        <w:rPr>
          <w:rFonts w:cs="Arial"/>
          <w:szCs w:val="24"/>
        </w:rPr>
        <w:t xml:space="preserve"> on March 30, 2022</w:t>
      </w:r>
      <w:r w:rsidR="00F45522">
        <w:rPr>
          <w:rFonts w:cs="Arial"/>
          <w:szCs w:val="24"/>
        </w:rPr>
        <w:t>,</w:t>
      </w:r>
      <w:r w:rsidR="00C05F7E">
        <w:rPr>
          <w:rFonts w:cs="Arial"/>
          <w:szCs w:val="24"/>
        </w:rPr>
        <w:t xml:space="preserve"> adopting the Medicare 2022 Quarter 2 update to </w:t>
      </w:r>
      <w:r w:rsidRPr="006158D5">
        <w:rPr>
          <w:rFonts w:cs="Arial"/>
          <w:szCs w:val="24"/>
        </w:rPr>
        <w:t>the pathology and clinical laboratory portion of the Official Medical Fee Schedule adopted in title 8, California Code of Regulations, section 9789.50</w:t>
      </w:r>
      <w:r w:rsidR="00BD6DAA">
        <w:rPr>
          <w:rFonts w:cs="Arial"/>
          <w:szCs w:val="24"/>
        </w:rPr>
        <w:t>,</w:t>
      </w:r>
      <w:r w:rsidR="00C05F7E">
        <w:rPr>
          <w:rFonts w:cs="Arial"/>
          <w:szCs w:val="24"/>
        </w:rPr>
        <w:t xml:space="preserve"> for services rendered on or after April 1, 2022. </w:t>
      </w:r>
      <w:r w:rsidR="00F45522">
        <w:rPr>
          <w:rFonts w:cs="Arial"/>
          <w:szCs w:val="24"/>
        </w:rPr>
        <w:t xml:space="preserve"> </w:t>
      </w:r>
      <w:r w:rsidR="00C05F7E">
        <w:rPr>
          <w:rFonts w:cs="Arial"/>
          <w:szCs w:val="24"/>
          <w:lang w:val="en"/>
        </w:rPr>
        <w:t xml:space="preserve">In addition to the adoption of the updated April 2022 clinical laboratory file, the Administrative Director adopted specified COVID-19 related testing codes and prices based upon 120% of the price set by the California Medicare Administrative Contractor Noridian. Thereafter, Medicare issued a revised Quarter 2 file: </w:t>
      </w:r>
      <w:r w:rsidR="00C05F7E" w:rsidRPr="006158D5">
        <w:rPr>
          <w:rFonts w:cs="Arial"/>
          <w:szCs w:val="24"/>
        </w:rPr>
        <w:t>“</w:t>
      </w:r>
      <w:hyperlink r:id="rId7" w:history="1">
        <w:r w:rsidR="00C05F7E" w:rsidRPr="00C05F7E">
          <w:rPr>
            <w:rStyle w:val="Hyperlink"/>
          </w:rPr>
          <w:t>22CLABQ2_0</w:t>
        </w:r>
      </w:hyperlink>
      <w:r w:rsidR="00C05F7E" w:rsidRPr="006158D5">
        <w:rPr>
          <w:rFonts w:cs="Arial"/>
          <w:szCs w:val="24"/>
        </w:rPr>
        <w:t>”</w:t>
      </w:r>
      <w:r w:rsidR="00C05F7E">
        <w:rPr>
          <w:rFonts w:cs="Arial"/>
          <w:szCs w:val="24"/>
        </w:rPr>
        <w:t xml:space="preserve"> </w:t>
      </w:r>
      <w:r w:rsidR="00BD6DAA">
        <w:rPr>
          <w:rFonts w:cs="Arial"/>
          <w:szCs w:val="24"/>
        </w:rPr>
        <w:t>(</w:t>
      </w:r>
      <w:r w:rsidR="00A57715">
        <w:rPr>
          <w:rFonts w:cs="Arial"/>
          <w:szCs w:val="24"/>
        </w:rPr>
        <w:t xml:space="preserve">updated </w:t>
      </w:r>
      <w:r w:rsidR="00C05F7E">
        <w:rPr>
          <w:rFonts w:cs="Arial"/>
          <w:szCs w:val="24"/>
        </w:rPr>
        <w:t>03/31/2022.</w:t>
      </w:r>
      <w:r w:rsidR="00A57715">
        <w:rPr>
          <w:rFonts w:cs="Arial"/>
          <w:szCs w:val="24"/>
        </w:rPr>
        <w:t>)</w:t>
      </w:r>
      <w:r w:rsidR="00C05F7E" w:rsidRPr="006158D5">
        <w:rPr>
          <w:rFonts w:cs="Arial"/>
          <w:szCs w:val="24"/>
        </w:rPr>
        <w:t xml:space="preserve"> </w:t>
      </w:r>
      <w:r w:rsidR="00C05F7E">
        <w:rPr>
          <w:rFonts w:cs="Arial"/>
          <w:szCs w:val="24"/>
        </w:rPr>
        <w:t xml:space="preserve">This file revises the </w:t>
      </w:r>
      <w:r w:rsidR="002D7ABF">
        <w:rPr>
          <w:rFonts w:cs="Arial"/>
          <w:szCs w:val="24"/>
        </w:rPr>
        <w:t xml:space="preserve">price </w:t>
      </w:r>
      <w:r w:rsidR="00C05F7E">
        <w:rPr>
          <w:rFonts w:cs="Arial"/>
          <w:szCs w:val="24"/>
        </w:rPr>
        <w:t>data for only one Proprietary Laboratory Analysis code:</w:t>
      </w:r>
    </w:p>
    <w:p w14:paraId="489450CA" w14:textId="4EC3F578" w:rsidR="00C05F7E" w:rsidRDefault="00C05F7E" w:rsidP="00F45522">
      <w:pPr>
        <w:spacing w:before="480" w:after="240"/>
        <w:ind w:right="-720"/>
        <w:contextualSpacing/>
        <w:rPr>
          <w:rFonts w:cs="Arial"/>
          <w:szCs w:val="24"/>
        </w:rPr>
      </w:pPr>
      <w:r>
        <w:rPr>
          <w:rFonts w:cs="Arial"/>
          <w:szCs w:val="24"/>
        </w:rPr>
        <w:t>Proprietary Laboratory Analysis Code 0108U</w:t>
      </w:r>
    </w:p>
    <w:p w14:paraId="01A1BD67" w14:textId="3CEA6BDF" w:rsidR="002D7ABF" w:rsidRDefault="002D7ABF" w:rsidP="00F45522">
      <w:pPr>
        <w:spacing w:before="240" w:after="240"/>
        <w:ind w:right="-720"/>
        <w:rPr>
          <w:rFonts w:cs="Arial"/>
          <w:szCs w:val="24"/>
        </w:rPr>
      </w:pPr>
      <w:r>
        <w:rPr>
          <w:rFonts w:cs="Arial"/>
          <w:szCs w:val="24"/>
        </w:rPr>
        <w:t xml:space="preserve">Laboratory: Cernostics - </w:t>
      </w:r>
      <w:r w:rsidRPr="002D7ABF">
        <w:rPr>
          <w:rFonts w:cs="Arial"/>
          <w:szCs w:val="24"/>
        </w:rPr>
        <w:t>TissueCypher® Barrett’s Esophagus Assay</w:t>
      </w:r>
    </w:p>
    <w:p w14:paraId="3E72CE11" w14:textId="77777777" w:rsidR="009146DC" w:rsidRPr="006158D5" w:rsidRDefault="009146DC" w:rsidP="009146DC">
      <w:pPr>
        <w:spacing w:after="120"/>
        <w:ind w:left="-720" w:right="-720"/>
        <w:rPr>
          <w:rFonts w:cs="Arial"/>
          <w:b/>
          <w:szCs w:val="24"/>
        </w:rPr>
      </w:pPr>
      <w:r w:rsidRPr="006158D5">
        <w:rPr>
          <w:rFonts w:cs="Arial"/>
          <w:szCs w:val="24"/>
          <w:u w:val="single"/>
        </w:rPr>
        <w:t>Medicare Data Source and Incorporation by Reference</w:t>
      </w:r>
    </w:p>
    <w:p w14:paraId="1400D3A4" w14:textId="0619ED21" w:rsidR="00A57715" w:rsidRDefault="002D7ABF" w:rsidP="00F45522">
      <w:pPr>
        <w:spacing w:after="240"/>
        <w:ind w:left="-720" w:right="-720"/>
        <w:rPr>
          <w:rFonts w:cs="Arial"/>
          <w:szCs w:val="24"/>
        </w:rPr>
      </w:pPr>
      <w:r>
        <w:rPr>
          <w:rFonts w:cs="Arial"/>
          <w:szCs w:val="24"/>
        </w:rPr>
        <w:t>E</w:t>
      </w:r>
      <w:r w:rsidRPr="006158D5">
        <w:rPr>
          <w:rFonts w:cs="Arial"/>
          <w:szCs w:val="24"/>
        </w:rPr>
        <w:t xml:space="preserve">ffective for services rendered on or after </w:t>
      </w:r>
      <w:r>
        <w:rPr>
          <w:rFonts w:cs="Arial"/>
          <w:szCs w:val="24"/>
        </w:rPr>
        <w:t>April</w:t>
      </w:r>
      <w:r w:rsidRPr="006158D5">
        <w:rPr>
          <w:rFonts w:cs="Arial"/>
          <w:szCs w:val="24"/>
        </w:rPr>
        <w:t xml:space="preserve"> 1, </w:t>
      </w:r>
      <w:r>
        <w:rPr>
          <w:rFonts w:cs="Arial"/>
          <w:szCs w:val="24"/>
        </w:rPr>
        <w:t>202</w:t>
      </w:r>
      <w:r w:rsidR="00A57715">
        <w:rPr>
          <w:rFonts w:cs="Arial"/>
          <w:szCs w:val="24"/>
        </w:rPr>
        <w:t>2</w:t>
      </w:r>
      <w:r w:rsidRPr="006158D5">
        <w:rPr>
          <w:rFonts w:cs="Arial"/>
          <w:szCs w:val="24"/>
        </w:rPr>
        <w:t xml:space="preserve">, the maximum reasonable fees for pathology and </w:t>
      </w:r>
      <w:r>
        <w:rPr>
          <w:rFonts w:cs="Arial"/>
          <w:szCs w:val="24"/>
        </w:rPr>
        <w:t xml:space="preserve">clinical </w:t>
      </w:r>
      <w:r w:rsidRPr="006158D5">
        <w:rPr>
          <w:rFonts w:cs="Arial"/>
          <w:szCs w:val="24"/>
        </w:rPr>
        <w:t xml:space="preserve">laboratory services shall not exceed 120% of the applicable fees set forth in the calendar year </w:t>
      </w:r>
      <w:r>
        <w:rPr>
          <w:rFonts w:cs="Arial"/>
          <w:szCs w:val="24"/>
        </w:rPr>
        <w:t>202</w:t>
      </w:r>
      <w:r w:rsidR="00210543">
        <w:rPr>
          <w:rFonts w:cs="Arial"/>
          <w:szCs w:val="24"/>
        </w:rPr>
        <w:t>2</w:t>
      </w:r>
      <w:r w:rsidRPr="006158D5">
        <w:rPr>
          <w:rFonts w:cs="Arial"/>
          <w:szCs w:val="24"/>
        </w:rPr>
        <w:t xml:space="preserve"> Medicare Clinical Laboratory Fee Schedule, contained in the electronic file “</w:t>
      </w:r>
      <w:hyperlink r:id="rId8" w:history="1">
        <w:r w:rsidR="00A57715" w:rsidRPr="00A57715">
          <w:rPr>
            <w:rStyle w:val="Hyperlink"/>
          </w:rPr>
          <w:t>22CLABQ2</w:t>
        </w:r>
        <w:r w:rsidRPr="00A57715">
          <w:rPr>
            <w:rStyle w:val="Hyperlink"/>
          </w:rPr>
          <w:t xml:space="preserve"> (updated 0</w:t>
        </w:r>
        <w:r w:rsidR="00210543" w:rsidRPr="00A57715">
          <w:rPr>
            <w:rStyle w:val="Hyperlink"/>
          </w:rPr>
          <w:t>3</w:t>
        </w:r>
        <w:r w:rsidRPr="00A57715">
          <w:rPr>
            <w:rStyle w:val="Hyperlink"/>
          </w:rPr>
          <w:t>/</w:t>
        </w:r>
        <w:r w:rsidR="00210543" w:rsidRPr="00A57715">
          <w:rPr>
            <w:rStyle w:val="Hyperlink"/>
          </w:rPr>
          <w:t>31</w:t>
        </w:r>
        <w:r w:rsidRPr="00A57715">
          <w:rPr>
            <w:rStyle w:val="Hyperlink"/>
          </w:rPr>
          <w:t>/202</w:t>
        </w:r>
        <w:r w:rsidR="00210543" w:rsidRPr="00A57715">
          <w:rPr>
            <w:rStyle w:val="Hyperlink"/>
          </w:rPr>
          <w:t>2</w:t>
        </w:r>
        <w:r w:rsidRPr="00A57715">
          <w:rPr>
            <w:rStyle w:val="Hyperlink"/>
          </w:rPr>
          <w:t>)</w:t>
        </w:r>
      </w:hyperlink>
      <w:r w:rsidRPr="006158D5">
        <w:rPr>
          <w:rFonts w:cs="Arial"/>
          <w:szCs w:val="24"/>
        </w:rPr>
        <w:t>” which is adopted and incorporated by reference.</w:t>
      </w:r>
      <w:r w:rsidR="00A57715">
        <w:rPr>
          <w:rFonts w:cs="Arial"/>
          <w:szCs w:val="24"/>
        </w:rPr>
        <w:t xml:space="preserve">  </w:t>
      </w:r>
      <w:r>
        <w:rPr>
          <w:rFonts w:cs="Arial"/>
          <w:szCs w:val="24"/>
        </w:rPr>
        <w:t>The Administrative Director</w:t>
      </w:r>
      <w:r w:rsidR="00A57715">
        <w:rPr>
          <w:rFonts w:cs="Arial"/>
          <w:szCs w:val="24"/>
        </w:rPr>
        <w:t>’s</w:t>
      </w:r>
      <w:r>
        <w:rPr>
          <w:rFonts w:cs="Arial"/>
          <w:szCs w:val="24"/>
        </w:rPr>
        <w:t xml:space="preserve"> Pathology and Clinical Laboratory order dated March 30, 202</w:t>
      </w:r>
      <w:r w:rsidR="00210543"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 remains in effect, except that the “2</w:t>
      </w:r>
      <w:r w:rsidR="00210543">
        <w:rPr>
          <w:rFonts w:cs="Arial"/>
          <w:szCs w:val="24"/>
        </w:rPr>
        <w:t>2</w:t>
      </w:r>
      <w:r>
        <w:rPr>
          <w:rFonts w:cs="Arial"/>
          <w:szCs w:val="24"/>
        </w:rPr>
        <w:t>CLABQ2” file is replaced by the “2</w:t>
      </w:r>
      <w:r w:rsidR="00210543">
        <w:rPr>
          <w:rFonts w:cs="Arial"/>
          <w:szCs w:val="24"/>
        </w:rPr>
        <w:t>2</w:t>
      </w:r>
      <w:r>
        <w:rPr>
          <w:rFonts w:cs="Arial"/>
          <w:szCs w:val="24"/>
        </w:rPr>
        <w:t>CLABQ2</w:t>
      </w:r>
      <w:r w:rsidR="00210543">
        <w:rPr>
          <w:rFonts w:cs="Arial"/>
          <w:szCs w:val="24"/>
        </w:rPr>
        <w:t xml:space="preserve">_0 </w:t>
      </w:r>
      <w:r>
        <w:rPr>
          <w:rFonts w:cs="Arial"/>
          <w:szCs w:val="24"/>
        </w:rPr>
        <w:t>(updated 0</w:t>
      </w:r>
      <w:r w:rsidR="00210543">
        <w:rPr>
          <w:rFonts w:cs="Arial"/>
          <w:szCs w:val="24"/>
        </w:rPr>
        <w:t>3</w:t>
      </w:r>
      <w:r>
        <w:rPr>
          <w:rFonts w:cs="Arial"/>
          <w:szCs w:val="24"/>
        </w:rPr>
        <w:t>/</w:t>
      </w:r>
      <w:r w:rsidR="00210543">
        <w:rPr>
          <w:rFonts w:cs="Arial"/>
          <w:szCs w:val="24"/>
        </w:rPr>
        <w:t>31</w:t>
      </w:r>
      <w:r>
        <w:rPr>
          <w:rFonts w:cs="Arial"/>
          <w:szCs w:val="24"/>
        </w:rPr>
        <w:t>/202</w:t>
      </w:r>
      <w:r w:rsidR="00210543">
        <w:rPr>
          <w:rFonts w:cs="Arial"/>
          <w:szCs w:val="24"/>
        </w:rPr>
        <w:t>2</w:t>
      </w:r>
      <w:r>
        <w:rPr>
          <w:rFonts w:cs="Arial"/>
          <w:szCs w:val="24"/>
        </w:rPr>
        <w:t>)” file</w:t>
      </w:r>
      <w:r w:rsidR="00A57715">
        <w:rPr>
          <w:rFonts w:cs="Arial"/>
          <w:szCs w:val="24"/>
        </w:rPr>
        <w:t>.</w:t>
      </w:r>
    </w:p>
    <w:p w14:paraId="77860E20" w14:textId="186E2605" w:rsidR="009146DC" w:rsidRDefault="009146DC" w:rsidP="00F45522">
      <w:pPr>
        <w:spacing w:after="360"/>
        <w:ind w:left="-720" w:right="-720"/>
        <w:rPr>
          <w:rFonts w:cs="Arial"/>
          <w:b/>
          <w:szCs w:val="24"/>
        </w:rPr>
      </w:pPr>
      <w:r w:rsidRPr="006158D5">
        <w:rPr>
          <w:rFonts w:cs="Arial"/>
          <w:szCs w:val="24"/>
        </w:rPr>
        <w:t xml:space="preserve">This Order is effective for services rendered on or after </w:t>
      </w:r>
      <w:r w:rsidR="001E1BF9">
        <w:rPr>
          <w:rFonts w:cs="Arial"/>
          <w:szCs w:val="24"/>
        </w:rPr>
        <w:t>April</w:t>
      </w:r>
      <w:r w:rsidR="000A4C50">
        <w:rPr>
          <w:rFonts w:cs="Arial"/>
          <w:szCs w:val="24"/>
        </w:rPr>
        <w:t xml:space="preserve"> </w:t>
      </w:r>
      <w:r w:rsidRPr="006158D5">
        <w:rPr>
          <w:rFonts w:cs="Arial"/>
          <w:szCs w:val="24"/>
        </w:rPr>
        <w:t xml:space="preserve">1, </w:t>
      </w:r>
      <w:r w:rsidR="006E10E3">
        <w:rPr>
          <w:rFonts w:cs="Arial"/>
          <w:szCs w:val="24"/>
        </w:rPr>
        <w:t>202</w:t>
      </w:r>
      <w:r w:rsidR="005C54BB">
        <w:rPr>
          <w:rFonts w:cs="Arial"/>
          <w:szCs w:val="24"/>
        </w:rPr>
        <w:t>2</w:t>
      </w:r>
      <w:r>
        <w:rPr>
          <w:rFonts w:cs="Arial"/>
          <w:szCs w:val="24"/>
        </w:rPr>
        <w:t>,</w:t>
      </w:r>
      <w:r w:rsidRPr="006158D5">
        <w:rPr>
          <w:rFonts w:cs="Arial"/>
          <w:szCs w:val="24"/>
        </w:rPr>
        <w:t xml:space="preserve"> and shall be </w:t>
      </w:r>
      <w:r w:rsidRPr="0073341E">
        <w:rPr>
          <w:rFonts w:cs="Arial"/>
          <w:szCs w:val="24"/>
        </w:rPr>
        <w:t xml:space="preserve">published on the </w:t>
      </w:r>
      <w:r w:rsidR="00210543">
        <w:rPr>
          <w:rFonts w:cs="Arial"/>
          <w:szCs w:val="24"/>
        </w:rPr>
        <w:t>DWC</w:t>
      </w:r>
      <w:r w:rsidR="007729DE" w:rsidRPr="002252BF">
        <w:rPr>
          <w:rFonts w:cs="Arial"/>
          <w:szCs w:val="24"/>
        </w:rPr>
        <w:t xml:space="preserve"> </w:t>
      </w:r>
      <w:hyperlink r:id="rId9" w:anchor="2" w:history="1">
        <w:r w:rsidR="007729DE" w:rsidRPr="00560B86">
          <w:rPr>
            <w:rStyle w:val="Hyperlink"/>
            <w:rFonts w:cs="Arial"/>
            <w:szCs w:val="24"/>
          </w:rPr>
          <w:t>Pathology</w:t>
        </w:r>
        <w:r w:rsidR="007729DE" w:rsidRPr="007729DE">
          <w:rPr>
            <w:rStyle w:val="Hyperlink"/>
            <w:rFonts w:cs="Arial"/>
            <w:szCs w:val="24"/>
          </w:rPr>
          <w:t xml:space="preserve"> and Clinical Laboratory webpage</w:t>
        </w:r>
      </w:hyperlink>
      <w:r w:rsidR="007729DE">
        <w:rPr>
          <w:rFonts w:cs="Arial"/>
          <w:szCs w:val="24"/>
        </w:rPr>
        <w:t>.</w:t>
      </w:r>
    </w:p>
    <w:p w14:paraId="6CD8E978" w14:textId="77777777" w:rsidR="009146DC" w:rsidRPr="006158D5" w:rsidRDefault="009146DC" w:rsidP="00560B86">
      <w:pPr>
        <w:spacing w:before="360" w:after="480"/>
        <w:ind w:left="2880" w:right="-720" w:firstLine="720"/>
        <w:rPr>
          <w:rFonts w:cs="Arial"/>
          <w:b/>
          <w:szCs w:val="24"/>
        </w:rPr>
      </w:pPr>
      <w:r>
        <w:rPr>
          <w:rFonts w:cs="Arial"/>
          <w:b/>
          <w:szCs w:val="24"/>
        </w:rPr>
        <w:t>IT IS SO ORDERED</w:t>
      </w:r>
    </w:p>
    <w:p w14:paraId="3744832F" w14:textId="4B56EC3C" w:rsidR="009146DC" w:rsidRPr="006158D5" w:rsidRDefault="009146DC" w:rsidP="009146DC">
      <w:pPr>
        <w:ind w:left="-720" w:right="-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Dated: </w:t>
      </w:r>
      <w:r w:rsidR="00210543">
        <w:rPr>
          <w:rFonts w:cs="Arial"/>
          <w:szCs w:val="24"/>
        </w:rPr>
        <w:t>April 11</w:t>
      </w:r>
      <w:r w:rsidRPr="006158D5">
        <w:rPr>
          <w:rFonts w:cs="Arial"/>
          <w:szCs w:val="24"/>
        </w:rPr>
        <w:t xml:space="preserve">, </w:t>
      </w:r>
      <w:r w:rsidR="006E10E3">
        <w:rPr>
          <w:rFonts w:cs="Arial"/>
          <w:szCs w:val="24"/>
        </w:rPr>
        <w:t>202</w:t>
      </w:r>
      <w:r w:rsidR="0053066C">
        <w:rPr>
          <w:rFonts w:cs="Arial"/>
          <w:szCs w:val="24"/>
        </w:rPr>
        <w:t>2</w:t>
      </w:r>
      <w:r w:rsidR="00756E25">
        <w:rPr>
          <w:rFonts w:cs="Arial"/>
          <w:szCs w:val="24"/>
        </w:rPr>
        <w:tab/>
      </w:r>
      <w:r w:rsidR="00A57715">
        <w:rPr>
          <w:rFonts w:cs="Arial"/>
          <w:szCs w:val="24"/>
        </w:rPr>
        <w:tab/>
      </w:r>
      <w:r w:rsidRPr="006158D5">
        <w:rPr>
          <w:rFonts w:cs="Arial"/>
          <w:szCs w:val="24"/>
        </w:rPr>
        <w:tab/>
      </w:r>
      <w:r w:rsidRPr="006158D5">
        <w:rPr>
          <w:rFonts w:cs="Arial"/>
          <w:szCs w:val="24"/>
          <w:u w:val="single"/>
        </w:rPr>
        <w:t>/S/</w:t>
      </w:r>
      <w:r>
        <w:rPr>
          <w:rFonts w:cs="Arial"/>
          <w:szCs w:val="24"/>
          <w:u w:val="single"/>
        </w:rPr>
        <w:t xml:space="preserve"> </w:t>
      </w:r>
      <w:r w:rsidRPr="006158D5">
        <w:rPr>
          <w:rFonts w:cs="Arial"/>
          <w:szCs w:val="24"/>
          <w:u w:val="single"/>
        </w:rPr>
        <w:t>GEORGE P. PARISOTTO</w:t>
      </w:r>
      <w:r>
        <w:rPr>
          <w:rFonts w:cs="Arial"/>
          <w:szCs w:val="24"/>
          <w:u w:val="single"/>
        </w:rPr>
        <w:t>______</w:t>
      </w:r>
    </w:p>
    <w:p w14:paraId="5A698281" w14:textId="77777777" w:rsidR="009146DC" w:rsidRPr="006158D5" w:rsidRDefault="009146DC" w:rsidP="009146DC">
      <w:pPr>
        <w:ind w:left="2880" w:right="-720" w:firstLine="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Administrative Director of the </w:t>
      </w:r>
    </w:p>
    <w:p w14:paraId="6C67553A" w14:textId="63706F99" w:rsidR="008E1A86" w:rsidRPr="009D17C2" w:rsidRDefault="009146DC" w:rsidP="009146DC">
      <w:pPr>
        <w:ind w:left="2880" w:right="-720" w:firstLine="720"/>
        <w:rPr>
          <w:rFonts w:eastAsiaTheme="minorHAnsi" w:cs="Arial"/>
          <w:sz w:val="22"/>
          <w:szCs w:val="22"/>
        </w:rPr>
      </w:pPr>
      <w:r w:rsidRPr="006158D5">
        <w:rPr>
          <w:rFonts w:cs="Arial"/>
          <w:szCs w:val="24"/>
        </w:rPr>
        <w:t>Division of Workers’ Compensation</w:t>
      </w:r>
    </w:p>
    <w:sectPr w:rsidR="008E1A86" w:rsidRPr="009D17C2" w:rsidSect="00560B86">
      <w:headerReference w:type="default" r:id="rId10"/>
      <w:pgSz w:w="12240" w:h="15840"/>
      <w:pgMar w:top="117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5CA4F" w14:textId="77777777" w:rsidR="008F207A" w:rsidRDefault="008F207A" w:rsidP="004D2DA6">
      <w:r>
        <w:separator/>
      </w:r>
    </w:p>
  </w:endnote>
  <w:endnote w:type="continuationSeparator" w:id="0">
    <w:p w14:paraId="55E08D5E" w14:textId="77777777" w:rsidR="008F207A" w:rsidRDefault="008F207A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B6F97" w14:textId="77777777" w:rsidR="008F207A" w:rsidRDefault="008F207A" w:rsidP="004D2DA6">
      <w:r>
        <w:separator/>
      </w:r>
    </w:p>
  </w:footnote>
  <w:footnote w:type="continuationSeparator" w:id="0">
    <w:p w14:paraId="4B940E0A" w14:textId="77777777" w:rsidR="008F207A" w:rsidRDefault="008F207A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5B9A2" w14:textId="77777777" w:rsidR="003C62B0" w:rsidRDefault="003C62B0" w:rsidP="003C62B0">
    <w:pPr>
      <w:pStyle w:val="Header"/>
      <w:ind w:left="-720"/>
    </w:pPr>
    <w:r>
      <w:t>Administrative Director Order</w:t>
    </w:r>
  </w:p>
  <w:p w14:paraId="535F4A87" w14:textId="77777777" w:rsidR="003C62B0" w:rsidRDefault="003C62B0" w:rsidP="003C62B0">
    <w:pPr>
      <w:pStyle w:val="Header"/>
      <w:ind w:left="-720"/>
    </w:pPr>
    <w:r>
      <w:t>OMFS – Pathology and Laboratory</w:t>
    </w:r>
  </w:p>
  <w:p w14:paraId="09BAEC3F" w14:textId="1593DBBF" w:rsidR="003C62B0" w:rsidRDefault="002D7ABF" w:rsidP="003C62B0">
    <w:pPr>
      <w:pStyle w:val="Header"/>
      <w:ind w:left="-720"/>
    </w:pPr>
    <w:r>
      <w:t>April 11</w:t>
    </w:r>
    <w:r w:rsidR="000A4C50">
      <w:t>,</w:t>
    </w:r>
    <w:r w:rsidR="003C62B0">
      <w:t xml:space="preserve"> 202</w:t>
    </w:r>
    <w:r w:rsidR="0053066C">
      <w:t>2</w:t>
    </w:r>
  </w:p>
  <w:p w14:paraId="62EDF178" w14:textId="62D270B8" w:rsidR="00942DCA" w:rsidRDefault="003C62B0" w:rsidP="000A4C50">
    <w:pPr>
      <w:pStyle w:val="Header"/>
      <w:tabs>
        <w:tab w:val="clear" w:pos="4680"/>
        <w:tab w:val="clear" w:pos="9360"/>
        <w:tab w:val="left" w:pos="7849"/>
      </w:tabs>
      <w:spacing w:after="600"/>
      <w:ind w:left="-720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A5771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A57715">
      <w:rPr>
        <w:b/>
        <w:bCs/>
        <w:noProof/>
      </w:rPr>
      <w:t>2</w:t>
    </w:r>
    <w:r>
      <w:rPr>
        <w:b/>
        <w:bCs/>
      </w:rPr>
      <w:fldChar w:fldCharType="end"/>
    </w:r>
    <w:r w:rsidR="000A4C50"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33C6"/>
    <w:rsid w:val="0000717B"/>
    <w:rsid w:val="000102E4"/>
    <w:rsid w:val="00014053"/>
    <w:rsid w:val="000140BB"/>
    <w:rsid w:val="00014100"/>
    <w:rsid w:val="000215AD"/>
    <w:rsid w:val="000303D3"/>
    <w:rsid w:val="00032882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776E0"/>
    <w:rsid w:val="000801B1"/>
    <w:rsid w:val="00086E91"/>
    <w:rsid w:val="00086EA4"/>
    <w:rsid w:val="00094FCB"/>
    <w:rsid w:val="000A03FE"/>
    <w:rsid w:val="000A1BD2"/>
    <w:rsid w:val="000A4A01"/>
    <w:rsid w:val="000A4C50"/>
    <w:rsid w:val="000A6E97"/>
    <w:rsid w:val="000B0300"/>
    <w:rsid w:val="000B1BB6"/>
    <w:rsid w:val="000B70FA"/>
    <w:rsid w:val="000B7FE5"/>
    <w:rsid w:val="000D24BC"/>
    <w:rsid w:val="000F6047"/>
    <w:rsid w:val="000F7921"/>
    <w:rsid w:val="000F7D4D"/>
    <w:rsid w:val="00101CD9"/>
    <w:rsid w:val="00105578"/>
    <w:rsid w:val="001071C9"/>
    <w:rsid w:val="00107288"/>
    <w:rsid w:val="00136F8A"/>
    <w:rsid w:val="00142B6E"/>
    <w:rsid w:val="00145CB6"/>
    <w:rsid w:val="00155D12"/>
    <w:rsid w:val="001577FB"/>
    <w:rsid w:val="001725CA"/>
    <w:rsid w:val="00181545"/>
    <w:rsid w:val="00182CD8"/>
    <w:rsid w:val="001907C1"/>
    <w:rsid w:val="001B084F"/>
    <w:rsid w:val="001B2EBC"/>
    <w:rsid w:val="001B4800"/>
    <w:rsid w:val="001C483A"/>
    <w:rsid w:val="001D5D02"/>
    <w:rsid w:val="001D7A9A"/>
    <w:rsid w:val="001D7AC9"/>
    <w:rsid w:val="001E1BF9"/>
    <w:rsid w:val="001E648E"/>
    <w:rsid w:val="001F7040"/>
    <w:rsid w:val="001F7B62"/>
    <w:rsid w:val="00210543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6AB0"/>
    <w:rsid w:val="00250932"/>
    <w:rsid w:val="002635AF"/>
    <w:rsid w:val="00266F20"/>
    <w:rsid w:val="002701A7"/>
    <w:rsid w:val="00283052"/>
    <w:rsid w:val="00284E30"/>
    <w:rsid w:val="0029039B"/>
    <w:rsid w:val="002918CA"/>
    <w:rsid w:val="002919A8"/>
    <w:rsid w:val="00292E0C"/>
    <w:rsid w:val="00294770"/>
    <w:rsid w:val="0029485C"/>
    <w:rsid w:val="002971C5"/>
    <w:rsid w:val="002A01DB"/>
    <w:rsid w:val="002A1271"/>
    <w:rsid w:val="002A4AD4"/>
    <w:rsid w:val="002A5522"/>
    <w:rsid w:val="002B505D"/>
    <w:rsid w:val="002C08DB"/>
    <w:rsid w:val="002C5809"/>
    <w:rsid w:val="002C6ADD"/>
    <w:rsid w:val="002D5F8E"/>
    <w:rsid w:val="002D7ABF"/>
    <w:rsid w:val="002D7F8E"/>
    <w:rsid w:val="002E51F6"/>
    <w:rsid w:val="002E6163"/>
    <w:rsid w:val="002E793F"/>
    <w:rsid w:val="002F0789"/>
    <w:rsid w:val="002F4DA0"/>
    <w:rsid w:val="002F557A"/>
    <w:rsid w:val="00302279"/>
    <w:rsid w:val="0030240F"/>
    <w:rsid w:val="003109FB"/>
    <w:rsid w:val="0031280E"/>
    <w:rsid w:val="003203D6"/>
    <w:rsid w:val="0032554F"/>
    <w:rsid w:val="0033154C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A2D48"/>
    <w:rsid w:val="003B242A"/>
    <w:rsid w:val="003B5F46"/>
    <w:rsid w:val="003B6551"/>
    <w:rsid w:val="003B6A90"/>
    <w:rsid w:val="003C169B"/>
    <w:rsid w:val="003C3D64"/>
    <w:rsid w:val="003C5AC5"/>
    <w:rsid w:val="003C62B0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61D9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A1665"/>
    <w:rsid w:val="004A2A47"/>
    <w:rsid w:val="004B2847"/>
    <w:rsid w:val="004B337F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10CFF"/>
    <w:rsid w:val="005229E4"/>
    <w:rsid w:val="00530229"/>
    <w:rsid w:val="0053066C"/>
    <w:rsid w:val="0053201C"/>
    <w:rsid w:val="00532757"/>
    <w:rsid w:val="00540154"/>
    <w:rsid w:val="00551DB5"/>
    <w:rsid w:val="00560B86"/>
    <w:rsid w:val="005623D3"/>
    <w:rsid w:val="0056245D"/>
    <w:rsid w:val="0056417F"/>
    <w:rsid w:val="0056477C"/>
    <w:rsid w:val="00565806"/>
    <w:rsid w:val="00566E04"/>
    <w:rsid w:val="005749DE"/>
    <w:rsid w:val="005757C5"/>
    <w:rsid w:val="00581AF4"/>
    <w:rsid w:val="00582455"/>
    <w:rsid w:val="00584D74"/>
    <w:rsid w:val="0059065E"/>
    <w:rsid w:val="00591110"/>
    <w:rsid w:val="00592828"/>
    <w:rsid w:val="005A5DA7"/>
    <w:rsid w:val="005B4A13"/>
    <w:rsid w:val="005C0A5E"/>
    <w:rsid w:val="005C54BB"/>
    <w:rsid w:val="005C6004"/>
    <w:rsid w:val="005C76F0"/>
    <w:rsid w:val="005D0ED1"/>
    <w:rsid w:val="005E01D8"/>
    <w:rsid w:val="005E371F"/>
    <w:rsid w:val="005E7CDE"/>
    <w:rsid w:val="005F70F0"/>
    <w:rsid w:val="00605CC3"/>
    <w:rsid w:val="006105F4"/>
    <w:rsid w:val="0061440C"/>
    <w:rsid w:val="0061480D"/>
    <w:rsid w:val="00615478"/>
    <w:rsid w:val="0062085F"/>
    <w:rsid w:val="0062115B"/>
    <w:rsid w:val="00630E81"/>
    <w:rsid w:val="006340AF"/>
    <w:rsid w:val="00634A23"/>
    <w:rsid w:val="00637D0D"/>
    <w:rsid w:val="00637F3D"/>
    <w:rsid w:val="00643389"/>
    <w:rsid w:val="00646299"/>
    <w:rsid w:val="00653A74"/>
    <w:rsid w:val="00656896"/>
    <w:rsid w:val="00656E62"/>
    <w:rsid w:val="00663D5D"/>
    <w:rsid w:val="00664326"/>
    <w:rsid w:val="00664C11"/>
    <w:rsid w:val="00666ECB"/>
    <w:rsid w:val="00681372"/>
    <w:rsid w:val="006819A5"/>
    <w:rsid w:val="00682010"/>
    <w:rsid w:val="006855AD"/>
    <w:rsid w:val="006916ED"/>
    <w:rsid w:val="00692C35"/>
    <w:rsid w:val="006C1A04"/>
    <w:rsid w:val="006C549A"/>
    <w:rsid w:val="006C5ADD"/>
    <w:rsid w:val="006C73ED"/>
    <w:rsid w:val="006D38FB"/>
    <w:rsid w:val="006E10E3"/>
    <w:rsid w:val="006E5487"/>
    <w:rsid w:val="006F5626"/>
    <w:rsid w:val="007023F9"/>
    <w:rsid w:val="00703112"/>
    <w:rsid w:val="00706D8F"/>
    <w:rsid w:val="00731345"/>
    <w:rsid w:val="007507E8"/>
    <w:rsid w:val="00752F54"/>
    <w:rsid w:val="00756E25"/>
    <w:rsid w:val="00765350"/>
    <w:rsid w:val="00765752"/>
    <w:rsid w:val="007714BC"/>
    <w:rsid w:val="007729DE"/>
    <w:rsid w:val="007742FF"/>
    <w:rsid w:val="0077431C"/>
    <w:rsid w:val="00787BE2"/>
    <w:rsid w:val="00791248"/>
    <w:rsid w:val="007A0E16"/>
    <w:rsid w:val="007A7084"/>
    <w:rsid w:val="007B58BF"/>
    <w:rsid w:val="007C111E"/>
    <w:rsid w:val="007D22BE"/>
    <w:rsid w:val="007E16C7"/>
    <w:rsid w:val="007E458D"/>
    <w:rsid w:val="007E6869"/>
    <w:rsid w:val="007F0E9E"/>
    <w:rsid w:val="007F208B"/>
    <w:rsid w:val="007F6B9F"/>
    <w:rsid w:val="00802DC7"/>
    <w:rsid w:val="0080357E"/>
    <w:rsid w:val="00804057"/>
    <w:rsid w:val="00817522"/>
    <w:rsid w:val="00824D15"/>
    <w:rsid w:val="00830356"/>
    <w:rsid w:val="008343F4"/>
    <w:rsid w:val="008424E2"/>
    <w:rsid w:val="00850EFA"/>
    <w:rsid w:val="0085175A"/>
    <w:rsid w:val="0085570B"/>
    <w:rsid w:val="008574C5"/>
    <w:rsid w:val="0088257B"/>
    <w:rsid w:val="00890A8A"/>
    <w:rsid w:val="008948D0"/>
    <w:rsid w:val="008A24F0"/>
    <w:rsid w:val="008B1AC2"/>
    <w:rsid w:val="008B5EB9"/>
    <w:rsid w:val="008D07D1"/>
    <w:rsid w:val="008D33F8"/>
    <w:rsid w:val="008D4ECA"/>
    <w:rsid w:val="008D6E5E"/>
    <w:rsid w:val="008D7071"/>
    <w:rsid w:val="008E1A86"/>
    <w:rsid w:val="008E259E"/>
    <w:rsid w:val="008E2F88"/>
    <w:rsid w:val="008F207A"/>
    <w:rsid w:val="008F715C"/>
    <w:rsid w:val="00900AF2"/>
    <w:rsid w:val="009026DC"/>
    <w:rsid w:val="0091330E"/>
    <w:rsid w:val="009146DC"/>
    <w:rsid w:val="009225AB"/>
    <w:rsid w:val="0092525A"/>
    <w:rsid w:val="0092676D"/>
    <w:rsid w:val="00927FD7"/>
    <w:rsid w:val="00933D6B"/>
    <w:rsid w:val="00940641"/>
    <w:rsid w:val="00940C36"/>
    <w:rsid w:val="00940D6B"/>
    <w:rsid w:val="00942DCA"/>
    <w:rsid w:val="00950782"/>
    <w:rsid w:val="009628C3"/>
    <w:rsid w:val="00962FF8"/>
    <w:rsid w:val="00964529"/>
    <w:rsid w:val="009703B9"/>
    <w:rsid w:val="00971D24"/>
    <w:rsid w:val="00972A28"/>
    <w:rsid w:val="0097393A"/>
    <w:rsid w:val="00977D6E"/>
    <w:rsid w:val="009806EA"/>
    <w:rsid w:val="009828DE"/>
    <w:rsid w:val="00986840"/>
    <w:rsid w:val="00991D54"/>
    <w:rsid w:val="00992083"/>
    <w:rsid w:val="00995161"/>
    <w:rsid w:val="009A069D"/>
    <w:rsid w:val="009A41D0"/>
    <w:rsid w:val="009B0343"/>
    <w:rsid w:val="009B1B99"/>
    <w:rsid w:val="009B42B6"/>
    <w:rsid w:val="009B79DE"/>
    <w:rsid w:val="009D17C2"/>
    <w:rsid w:val="009D3ADE"/>
    <w:rsid w:val="009D69C6"/>
    <w:rsid w:val="009E2E8B"/>
    <w:rsid w:val="009E7048"/>
    <w:rsid w:val="009F5634"/>
    <w:rsid w:val="00A0517F"/>
    <w:rsid w:val="00A1126D"/>
    <w:rsid w:val="00A13C71"/>
    <w:rsid w:val="00A24410"/>
    <w:rsid w:val="00A27B31"/>
    <w:rsid w:val="00A32BB0"/>
    <w:rsid w:val="00A41A49"/>
    <w:rsid w:val="00A47EBB"/>
    <w:rsid w:val="00A552BB"/>
    <w:rsid w:val="00A57715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3C8"/>
    <w:rsid w:val="00AA4D54"/>
    <w:rsid w:val="00AA57C7"/>
    <w:rsid w:val="00AA7CA9"/>
    <w:rsid w:val="00AB07C4"/>
    <w:rsid w:val="00AB090A"/>
    <w:rsid w:val="00AC31E3"/>
    <w:rsid w:val="00AD54A7"/>
    <w:rsid w:val="00AE4CEC"/>
    <w:rsid w:val="00AF10EE"/>
    <w:rsid w:val="00AF4A59"/>
    <w:rsid w:val="00AF686C"/>
    <w:rsid w:val="00B04B6A"/>
    <w:rsid w:val="00B04C76"/>
    <w:rsid w:val="00B05A80"/>
    <w:rsid w:val="00B10805"/>
    <w:rsid w:val="00B17DC9"/>
    <w:rsid w:val="00B24105"/>
    <w:rsid w:val="00B24A69"/>
    <w:rsid w:val="00B26649"/>
    <w:rsid w:val="00B30A4C"/>
    <w:rsid w:val="00B4056A"/>
    <w:rsid w:val="00B419BC"/>
    <w:rsid w:val="00B56940"/>
    <w:rsid w:val="00B65390"/>
    <w:rsid w:val="00B728DF"/>
    <w:rsid w:val="00B86251"/>
    <w:rsid w:val="00BB1860"/>
    <w:rsid w:val="00BB3C9A"/>
    <w:rsid w:val="00BB64ED"/>
    <w:rsid w:val="00BC2046"/>
    <w:rsid w:val="00BC28EF"/>
    <w:rsid w:val="00BC3534"/>
    <w:rsid w:val="00BD5E86"/>
    <w:rsid w:val="00BD6DAA"/>
    <w:rsid w:val="00C03C26"/>
    <w:rsid w:val="00C05F7E"/>
    <w:rsid w:val="00C16376"/>
    <w:rsid w:val="00C16765"/>
    <w:rsid w:val="00C3416D"/>
    <w:rsid w:val="00C34748"/>
    <w:rsid w:val="00C350DD"/>
    <w:rsid w:val="00C37FF8"/>
    <w:rsid w:val="00C4231A"/>
    <w:rsid w:val="00C4255C"/>
    <w:rsid w:val="00C519A5"/>
    <w:rsid w:val="00C5352C"/>
    <w:rsid w:val="00C55255"/>
    <w:rsid w:val="00C61105"/>
    <w:rsid w:val="00C62812"/>
    <w:rsid w:val="00C62FE7"/>
    <w:rsid w:val="00C64051"/>
    <w:rsid w:val="00C704F5"/>
    <w:rsid w:val="00C81B10"/>
    <w:rsid w:val="00C8258C"/>
    <w:rsid w:val="00C83037"/>
    <w:rsid w:val="00C8374C"/>
    <w:rsid w:val="00C90655"/>
    <w:rsid w:val="00C90D1F"/>
    <w:rsid w:val="00CA103E"/>
    <w:rsid w:val="00CB00D1"/>
    <w:rsid w:val="00CB0248"/>
    <w:rsid w:val="00CB4CBA"/>
    <w:rsid w:val="00CB562F"/>
    <w:rsid w:val="00CD2E69"/>
    <w:rsid w:val="00CD618A"/>
    <w:rsid w:val="00CD79A9"/>
    <w:rsid w:val="00CE2560"/>
    <w:rsid w:val="00CE51A6"/>
    <w:rsid w:val="00CF15CA"/>
    <w:rsid w:val="00D045E6"/>
    <w:rsid w:val="00D06345"/>
    <w:rsid w:val="00D152F5"/>
    <w:rsid w:val="00D22F1D"/>
    <w:rsid w:val="00D23E15"/>
    <w:rsid w:val="00D2778B"/>
    <w:rsid w:val="00D278E4"/>
    <w:rsid w:val="00D4116B"/>
    <w:rsid w:val="00D43984"/>
    <w:rsid w:val="00D555EE"/>
    <w:rsid w:val="00D62A4E"/>
    <w:rsid w:val="00D717F0"/>
    <w:rsid w:val="00D832AE"/>
    <w:rsid w:val="00D86FDD"/>
    <w:rsid w:val="00D90972"/>
    <w:rsid w:val="00DA3AF5"/>
    <w:rsid w:val="00DB6C44"/>
    <w:rsid w:val="00DC220B"/>
    <w:rsid w:val="00DC2AB1"/>
    <w:rsid w:val="00DC5585"/>
    <w:rsid w:val="00DC6DCA"/>
    <w:rsid w:val="00DD571B"/>
    <w:rsid w:val="00DD7D14"/>
    <w:rsid w:val="00DE5790"/>
    <w:rsid w:val="00DE70E4"/>
    <w:rsid w:val="00DF27CF"/>
    <w:rsid w:val="00DF72AC"/>
    <w:rsid w:val="00E0377A"/>
    <w:rsid w:val="00E10D00"/>
    <w:rsid w:val="00E23B15"/>
    <w:rsid w:val="00E27B1B"/>
    <w:rsid w:val="00E32742"/>
    <w:rsid w:val="00E33BD9"/>
    <w:rsid w:val="00E402FC"/>
    <w:rsid w:val="00E413C2"/>
    <w:rsid w:val="00E4167B"/>
    <w:rsid w:val="00E4744A"/>
    <w:rsid w:val="00E57AAB"/>
    <w:rsid w:val="00E63C38"/>
    <w:rsid w:val="00E65011"/>
    <w:rsid w:val="00E713F8"/>
    <w:rsid w:val="00E75103"/>
    <w:rsid w:val="00E915E9"/>
    <w:rsid w:val="00E94B41"/>
    <w:rsid w:val="00EA0484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35D73"/>
    <w:rsid w:val="00F42B96"/>
    <w:rsid w:val="00F45522"/>
    <w:rsid w:val="00F514DB"/>
    <w:rsid w:val="00F52230"/>
    <w:rsid w:val="00F539B9"/>
    <w:rsid w:val="00F55CA0"/>
    <w:rsid w:val="00F56865"/>
    <w:rsid w:val="00F70DFA"/>
    <w:rsid w:val="00F76E4C"/>
    <w:rsid w:val="00F85472"/>
    <w:rsid w:val="00F905EB"/>
    <w:rsid w:val="00F93821"/>
    <w:rsid w:val="00F97318"/>
    <w:rsid w:val="00F97B1B"/>
    <w:rsid w:val="00FA18FF"/>
    <w:rsid w:val="00FA28A4"/>
    <w:rsid w:val="00FA2BD7"/>
    <w:rsid w:val="00FA30AB"/>
    <w:rsid w:val="00FA4878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4893ED"/>
  <w15:chartTrackingRefBased/>
  <w15:docId w15:val="{799C27B1-423A-49F8-AABE-69E41A30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uiPriority w:val="99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146DC"/>
    <w:rPr>
      <w:b/>
      <w:sz w:val="24"/>
    </w:rPr>
  </w:style>
  <w:style w:type="table" w:styleId="TableGrid">
    <w:name w:val="Table Grid"/>
    <w:basedOn w:val="TableNormal"/>
    <w:rsid w:val="0029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562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.gov/apps/ama/license.asp?file=/files/zip/22CLABQ2.zi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ms.gov/apps/ama/license.asp?file=/files/zip/22CLABQ2.zi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ir.ca.gov/dwc/OMFS990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Laboratory Order 2022 Quarter 2 Update number 2</vt:lpstr>
    </vt:vector>
  </TitlesOfParts>
  <Company/>
  <LinksUpToDate>false</LinksUpToDate>
  <CharactersWithSpaces>2415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Laboratory Order 2022 Quarter 2 Update number 2</dc:title>
  <dc:subject/>
  <dc:creator>DWC</dc:creator>
  <cp:keywords/>
  <cp:lastModifiedBy>Payerl, Lynn@DIR</cp:lastModifiedBy>
  <cp:revision>2</cp:revision>
  <dcterms:created xsi:type="dcterms:W3CDTF">2022-04-11T23:31:00Z</dcterms:created>
  <dcterms:modified xsi:type="dcterms:W3CDTF">2022-04-11T23:32:00Z</dcterms:modified>
</cp:coreProperties>
</file>