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8795" w14:textId="44A2C214" w:rsidR="00E75A4A" w:rsidRDefault="00E75A4A" w:rsidP="00F27162">
      <w:pPr>
        <w:pStyle w:val="Heading1"/>
      </w:pPr>
      <w:r>
        <w:t xml:space="preserve">Draft Carbon Disulfide (CS2) Health Effects </w:t>
      </w:r>
      <w:r w:rsidRPr="00F27162">
        <w:t>Assessment</w:t>
      </w:r>
      <w:r>
        <w:t xml:space="preserve"> </w:t>
      </w:r>
      <w:r>
        <w:br/>
        <w:t xml:space="preserve">Last Revised </w:t>
      </w:r>
      <w:smartTag w:uri="urn:schemas-microsoft-com:office:smarttags" w:element="date">
        <w:smartTagPr>
          <w:attr w:name="Year" w:val="2008"/>
          <w:attr w:name="Day" w:val="24"/>
          <w:attr w:name="Month" w:val="10"/>
        </w:smartTagPr>
        <w:r>
          <w:t>October 24th, 2008</w:t>
        </w:r>
      </w:smartTag>
    </w:p>
    <w:p w14:paraId="6A0DD37B" w14:textId="724A9B8D" w:rsidR="00DF09EA" w:rsidRPr="006968A3" w:rsidRDefault="00DF09EA" w:rsidP="006968A3">
      <w:pPr>
        <w:pStyle w:val="Heading2"/>
        <w:keepNext/>
      </w:pPr>
      <w:r>
        <w:t>IDENTIFICATION</w:t>
      </w:r>
    </w:p>
    <w:p w14:paraId="2F771609" w14:textId="77777777" w:rsidR="00DF09EA" w:rsidRDefault="00DF09EA">
      <w:pPr>
        <w:rPr>
          <w:rFonts w:ascii="Arial" w:hAnsi="Arial" w:cs="Arial"/>
          <w:sz w:val="22"/>
          <w:lang w:val="fr-FR"/>
        </w:rPr>
      </w:pPr>
      <w:r>
        <w:rPr>
          <w:rFonts w:ascii="Arial" w:hAnsi="Arial" w:cs="Arial"/>
          <w:sz w:val="22"/>
        </w:rPr>
        <w:fldChar w:fldCharType="begin"/>
      </w:r>
      <w:r>
        <w:rPr>
          <w:rFonts w:ascii="Arial" w:hAnsi="Arial" w:cs="Arial"/>
          <w:sz w:val="22"/>
          <w:lang w:val="fr-FR"/>
        </w:rPr>
        <w:instrText xml:space="preserve"> SEQ CHAPTER \h \r 1</w:instrText>
      </w:r>
      <w:r>
        <w:rPr>
          <w:rFonts w:ascii="Arial" w:hAnsi="Arial" w:cs="Arial"/>
          <w:sz w:val="22"/>
        </w:rPr>
        <w:fldChar w:fldCharType="end"/>
      </w:r>
      <w:r>
        <w:rPr>
          <w:rFonts w:ascii="Arial" w:hAnsi="Arial" w:cs="Arial"/>
          <w:b/>
          <w:sz w:val="22"/>
          <w:lang w:val="fr-FR"/>
        </w:rPr>
        <w:t>Substance Name:</w:t>
      </w:r>
      <w:r>
        <w:rPr>
          <w:rFonts w:ascii="Arial" w:hAnsi="Arial" w:cs="Arial"/>
          <w:sz w:val="22"/>
          <w:lang w:val="fr-FR"/>
        </w:rPr>
        <w:t xml:space="preserve"> </w:t>
      </w:r>
      <w:r>
        <w:rPr>
          <w:rFonts w:ascii="Arial" w:hAnsi="Arial" w:cs="Arial"/>
          <w:bCs/>
          <w:sz w:val="22"/>
          <w:lang w:val="fr-FR"/>
        </w:rPr>
        <w:t xml:space="preserve">Carbon </w:t>
      </w:r>
      <w:proofErr w:type="spellStart"/>
      <w:r>
        <w:rPr>
          <w:rFonts w:ascii="Arial" w:hAnsi="Arial" w:cs="Arial"/>
          <w:bCs/>
          <w:sz w:val="22"/>
          <w:lang w:val="fr-FR"/>
        </w:rPr>
        <w:t>Disulfide</w:t>
      </w:r>
      <w:proofErr w:type="spellEnd"/>
    </w:p>
    <w:p w14:paraId="069536E2" w14:textId="75139AA5" w:rsidR="00DF09EA" w:rsidRDefault="00DF09EA">
      <w:pPr>
        <w:rPr>
          <w:rFonts w:ascii="Arial" w:hAnsi="Arial" w:cs="Arial"/>
          <w:sz w:val="22"/>
          <w:lang w:val="fr-FR"/>
        </w:rPr>
      </w:pPr>
      <w:r>
        <w:rPr>
          <w:rFonts w:ascii="Arial" w:hAnsi="Arial" w:cs="Arial"/>
          <w:b/>
          <w:sz w:val="22"/>
          <w:lang w:val="fr-FR"/>
        </w:rPr>
        <w:t>CAS:</w:t>
      </w:r>
      <w:r w:rsidR="00A91947">
        <w:rPr>
          <w:rFonts w:ascii="Arial" w:hAnsi="Arial" w:cs="Arial"/>
          <w:sz w:val="22"/>
          <w:lang w:val="fr-FR"/>
        </w:rPr>
        <w:t xml:space="preserve"> </w:t>
      </w:r>
      <w:r>
        <w:rPr>
          <w:rFonts w:ascii="Arial" w:hAnsi="Arial" w:cs="Arial"/>
          <w:sz w:val="22"/>
          <w:szCs w:val="18"/>
          <w:lang w:val="fr-FR"/>
        </w:rPr>
        <w:t>75-15-0</w:t>
      </w:r>
      <w:r>
        <w:rPr>
          <w:rFonts w:ascii="Arial" w:hAnsi="Arial" w:cs="Arial"/>
          <w:sz w:val="22"/>
          <w:lang w:val="fr-FR"/>
        </w:rPr>
        <w:t xml:space="preserve"> </w:t>
      </w:r>
    </w:p>
    <w:p w14:paraId="256726E3" w14:textId="77777777" w:rsidR="00DF09EA" w:rsidRDefault="00DF09EA">
      <w:pPr>
        <w:ind w:left="360" w:hanging="360"/>
        <w:rPr>
          <w:rFonts w:ascii="Arial" w:hAnsi="Arial" w:cs="Arial"/>
          <w:sz w:val="22"/>
          <w:lang w:val="fr-FR"/>
        </w:rPr>
      </w:pPr>
      <w:proofErr w:type="spellStart"/>
      <w:r>
        <w:rPr>
          <w:rFonts w:ascii="Arial" w:hAnsi="Arial" w:cs="Arial"/>
          <w:b/>
          <w:sz w:val="22"/>
          <w:lang w:val="fr-FR"/>
        </w:rPr>
        <w:t>Synonyms</w:t>
      </w:r>
      <w:proofErr w:type="spellEnd"/>
      <w:r>
        <w:rPr>
          <w:rFonts w:ascii="Arial" w:hAnsi="Arial" w:cs="Arial"/>
          <w:b/>
          <w:sz w:val="22"/>
          <w:lang w:val="fr-FR"/>
        </w:rPr>
        <w:t>:</w:t>
      </w:r>
      <w:r>
        <w:rPr>
          <w:rFonts w:ascii="Arial" w:hAnsi="Arial" w:cs="Arial"/>
          <w:sz w:val="22"/>
          <w:lang w:val="fr-FR"/>
        </w:rPr>
        <w:t xml:space="preserve"> </w:t>
      </w:r>
      <w:r>
        <w:rPr>
          <w:rFonts w:ascii="Arial" w:hAnsi="Arial" w:cs="Arial"/>
          <w:sz w:val="16"/>
          <w:lang w:val="fr-FR"/>
        </w:rPr>
        <w:t>CARBON BISULFIDE; CARBON SULFIDE; CARBON SULFIDE (CS2); CARBON SULPHIDE; DISULFURE DE CARBONE (DOT FRENCH); DISULFURO DE CARBONO (DOT SPANISH); DITHIOCARBONIC ANHYDRIDE; NCI-C04591; RCRA WASTE NUMBER P022; SULPHOCARBONIC ANHYDRIDE; SULPHURET OF CARBON; UN 1131; WEEVILTOX; BISULFURO DE CARBONO (DOT SPANISH); CARBON BISULPHIDE; CARBON DISULFIDE; CARBON DISULPHIDE</w:t>
      </w:r>
    </w:p>
    <w:p w14:paraId="014BA172" w14:textId="6B967C43" w:rsidR="00DF09EA" w:rsidRDefault="00DF09EA">
      <w:pPr>
        <w:rPr>
          <w:rFonts w:ascii="Arial" w:hAnsi="Arial" w:cs="Arial"/>
          <w:sz w:val="22"/>
        </w:rPr>
      </w:pPr>
      <w:r>
        <w:rPr>
          <w:rFonts w:ascii="Arial" w:hAnsi="Arial" w:cs="Arial"/>
          <w:b/>
          <w:sz w:val="22"/>
        </w:rPr>
        <w:t>Molecular Formula:</w:t>
      </w:r>
      <w:r w:rsidR="00A91947">
        <w:rPr>
          <w:rFonts w:ascii="Arial" w:hAnsi="Arial" w:cs="Arial"/>
          <w:sz w:val="22"/>
        </w:rPr>
        <w:t xml:space="preserve"> </w:t>
      </w:r>
      <w:r>
        <w:rPr>
          <w:rFonts w:ascii="Arial" w:hAnsi="Arial" w:cs="Arial"/>
          <w:sz w:val="22"/>
        </w:rPr>
        <w:t>CS2</w:t>
      </w:r>
    </w:p>
    <w:p w14:paraId="56C471F8" w14:textId="77777777" w:rsidR="00DF09EA" w:rsidRDefault="00DF09EA" w:rsidP="006968A3">
      <w:pPr>
        <w:pStyle w:val="Heading2"/>
        <w:keepNext/>
        <w:rPr>
          <w:bCs w:val="0"/>
        </w:rPr>
      </w:pPr>
      <w:r>
        <w:t>CHEMICAL AND PHYSICAL PROPERTIES</w:t>
      </w:r>
    </w:p>
    <w:p w14:paraId="49552730" w14:textId="1FA58279" w:rsidR="00DF09EA" w:rsidRDefault="00DF09EA">
      <w:pPr>
        <w:rPr>
          <w:rFonts w:ascii="Arial" w:hAnsi="Arial" w:cs="Arial"/>
          <w:sz w:val="22"/>
        </w:rPr>
      </w:pPr>
      <w:r>
        <w:rPr>
          <w:rFonts w:ascii="Arial" w:hAnsi="Arial" w:cs="Arial"/>
          <w:b/>
          <w:bCs/>
          <w:sz w:val="22"/>
        </w:rPr>
        <w:t>Physical state and appearance</w:t>
      </w:r>
      <w:r>
        <w:rPr>
          <w:rFonts w:ascii="Arial" w:hAnsi="Arial" w:cs="Arial"/>
          <w:sz w:val="22"/>
        </w:rPr>
        <w:t>:</w:t>
      </w:r>
      <w:r w:rsidR="00A91947">
        <w:rPr>
          <w:rFonts w:ascii="Arial" w:hAnsi="Arial" w:cs="Arial"/>
          <w:sz w:val="22"/>
        </w:rPr>
        <w:t xml:space="preserve"> </w:t>
      </w:r>
      <w:r>
        <w:rPr>
          <w:rFonts w:ascii="Arial" w:hAnsi="Arial" w:cs="Arial"/>
          <w:sz w:val="22"/>
        </w:rPr>
        <w:t>colorless to faintly yellow liquid</w:t>
      </w:r>
    </w:p>
    <w:p w14:paraId="62CD2C16" w14:textId="14821CF8" w:rsidR="00DF09EA" w:rsidRDefault="00DF09EA">
      <w:pPr>
        <w:rPr>
          <w:rFonts w:ascii="Arial" w:hAnsi="Arial" w:cs="Arial"/>
          <w:sz w:val="22"/>
          <w:lang w:val="en-CA"/>
        </w:rPr>
      </w:pPr>
      <w:r>
        <w:rPr>
          <w:rFonts w:ascii="Arial" w:hAnsi="Arial" w:cs="Arial"/>
          <w:b/>
          <w:bCs/>
          <w:sz w:val="22"/>
        </w:rPr>
        <w:t>Odor description:</w:t>
      </w:r>
      <w:r w:rsidR="00A91947">
        <w:rPr>
          <w:rFonts w:ascii="Arial" w:hAnsi="Arial" w:cs="Arial"/>
          <w:sz w:val="22"/>
        </w:rPr>
        <w:t xml:space="preserve"> </w:t>
      </w:r>
      <w:r>
        <w:rPr>
          <w:rFonts w:ascii="Arial" w:hAnsi="Arial" w:cs="Arial"/>
          <w:sz w:val="22"/>
        </w:rPr>
        <w:t xml:space="preserve">Commercial - a sweetish aromatic; industrial - rotten cabbage or radish. </w:t>
      </w:r>
    </w:p>
    <w:p w14:paraId="7421250D" w14:textId="705212AA" w:rsidR="00DF09EA" w:rsidRDefault="00DF09EA">
      <w:pPr>
        <w:rPr>
          <w:rFonts w:ascii="Arial" w:hAnsi="Arial" w:cs="Arial"/>
          <w:sz w:val="22"/>
        </w:rPr>
      </w:pPr>
      <w:r>
        <w:rPr>
          <w:rFonts w:ascii="Arial" w:hAnsi="Arial" w:cs="Arial"/>
          <w:b/>
          <w:bCs/>
          <w:sz w:val="22"/>
        </w:rPr>
        <w:t>Odor threshold:</w:t>
      </w:r>
      <w:r w:rsidR="00A91947">
        <w:rPr>
          <w:rFonts w:ascii="Arial" w:hAnsi="Arial" w:cs="Arial"/>
          <w:sz w:val="22"/>
        </w:rPr>
        <w:t xml:space="preserve"> </w:t>
      </w:r>
      <w:r>
        <w:rPr>
          <w:rFonts w:ascii="Arial" w:hAnsi="Arial" w:cs="Arial"/>
          <w:sz w:val="22"/>
        </w:rPr>
        <w:t>0.1-0.2 ppm (ACGIH, 1991)</w:t>
      </w:r>
    </w:p>
    <w:p w14:paraId="3697547E" w14:textId="77777777" w:rsidR="00DF09EA" w:rsidRDefault="00DF09EA">
      <w:pPr>
        <w:rPr>
          <w:rFonts w:ascii="Arial" w:hAnsi="Arial" w:cs="Arial"/>
          <w:sz w:val="22"/>
        </w:rPr>
      </w:pPr>
      <w:r>
        <w:rPr>
          <w:rFonts w:ascii="Arial" w:hAnsi="Arial" w:cs="Arial"/>
          <w:b/>
          <w:bCs/>
          <w:sz w:val="22"/>
        </w:rPr>
        <w:t>Molecular weight:</w:t>
      </w:r>
      <w:r>
        <w:rPr>
          <w:rFonts w:ascii="Arial" w:hAnsi="Arial" w:cs="Arial"/>
          <w:sz w:val="22"/>
        </w:rPr>
        <w:t xml:space="preserve"> 76.14</w:t>
      </w:r>
    </w:p>
    <w:p w14:paraId="6691277C" w14:textId="62B3B35C" w:rsidR="00DF09EA" w:rsidRDefault="00DF09EA">
      <w:pPr>
        <w:rPr>
          <w:rFonts w:ascii="Arial" w:hAnsi="Arial" w:cs="Arial"/>
          <w:sz w:val="22"/>
        </w:rPr>
      </w:pPr>
      <w:r>
        <w:rPr>
          <w:rFonts w:ascii="Arial" w:hAnsi="Arial" w:cs="Arial"/>
          <w:b/>
          <w:sz w:val="22"/>
        </w:rPr>
        <w:t>ppm to mg/m³</w:t>
      </w:r>
      <w:r w:rsidR="00A91947">
        <w:rPr>
          <w:rFonts w:ascii="Arial" w:hAnsi="Arial" w:cs="Arial"/>
          <w:sz w:val="22"/>
        </w:rPr>
        <w:t xml:space="preserve"> </w:t>
      </w:r>
      <w:r>
        <w:rPr>
          <w:rFonts w:ascii="Arial" w:hAnsi="Arial" w:cs="Arial"/>
          <w:sz w:val="22"/>
        </w:rPr>
        <w:t>(at 25</w:t>
      </w:r>
      <w:r>
        <w:rPr>
          <w:rFonts w:ascii="Arial" w:hAnsi="Arial" w:cs="Arial"/>
          <w:sz w:val="22"/>
        </w:rPr>
        <w:sym w:font="Symbol" w:char="F0B0"/>
      </w:r>
      <w:r>
        <w:rPr>
          <w:rFonts w:ascii="Arial" w:hAnsi="Arial" w:cs="Arial"/>
          <w:sz w:val="22"/>
        </w:rPr>
        <w:t xml:space="preserve">C and 760 mmHg) </w:t>
      </w:r>
      <w:r>
        <w:rPr>
          <w:rFonts w:ascii="Arial" w:hAnsi="Arial" w:cs="Arial"/>
          <w:sz w:val="22"/>
          <w:szCs w:val="18"/>
        </w:rPr>
        <w:t>1 ppm = 3.11 mg/m</w:t>
      </w:r>
      <w:r>
        <w:rPr>
          <w:rFonts w:ascii="Arial" w:hAnsi="Arial" w:cs="Arial"/>
          <w:sz w:val="22"/>
          <w:szCs w:val="18"/>
          <w:vertAlign w:val="superscript"/>
        </w:rPr>
        <w:t>3</w:t>
      </w:r>
    </w:p>
    <w:p w14:paraId="69A4A559" w14:textId="77777777" w:rsidR="00DF09EA" w:rsidRDefault="00DF09EA">
      <w:pPr>
        <w:rPr>
          <w:rFonts w:ascii="Arial" w:hAnsi="Arial" w:cs="Arial"/>
          <w:sz w:val="22"/>
        </w:rPr>
      </w:pPr>
      <w:r>
        <w:rPr>
          <w:rFonts w:ascii="Arial" w:hAnsi="Arial" w:cs="Arial"/>
          <w:b/>
          <w:sz w:val="22"/>
        </w:rPr>
        <w:t>Vapor Pressure at 20</w:t>
      </w:r>
      <w:r>
        <w:rPr>
          <w:rFonts w:ascii="Arial" w:hAnsi="Arial" w:cs="Arial"/>
          <w:b/>
          <w:sz w:val="22"/>
        </w:rPr>
        <w:sym w:font="Symbol" w:char="F0B0"/>
      </w:r>
      <w:r>
        <w:rPr>
          <w:rFonts w:ascii="Arial" w:hAnsi="Arial" w:cs="Arial"/>
          <w:b/>
          <w:sz w:val="22"/>
        </w:rPr>
        <w:t>C:</w:t>
      </w:r>
      <w:r>
        <w:rPr>
          <w:rFonts w:ascii="Arial" w:hAnsi="Arial" w:cs="Arial"/>
          <w:sz w:val="22"/>
        </w:rPr>
        <w:t xml:space="preserve"> 297 mm Hg</w:t>
      </w:r>
    </w:p>
    <w:p w14:paraId="6C683759" w14:textId="77777777" w:rsidR="00DF09EA" w:rsidRDefault="00DF09EA">
      <w:pPr>
        <w:rPr>
          <w:rFonts w:ascii="Arial" w:hAnsi="Arial" w:cs="Arial"/>
          <w:b/>
          <w:bCs/>
          <w:sz w:val="22"/>
        </w:rPr>
      </w:pPr>
      <w:r>
        <w:rPr>
          <w:rFonts w:ascii="Arial" w:hAnsi="Arial" w:cs="Arial"/>
          <w:b/>
          <w:bCs/>
          <w:sz w:val="22"/>
        </w:rPr>
        <w:t xml:space="preserve">Melting point: </w:t>
      </w:r>
      <w:r>
        <w:rPr>
          <w:rFonts w:ascii="Arial" w:hAnsi="Arial" w:cs="Arial"/>
          <w:sz w:val="22"/>
        </w:rPr>
        <w:t>-11.5°C</w:t>
      </w:r>
    </w:p>
    <w:p w14:paraId="7520405F" w14:textId="77777777" w:rsidR="00DF09EA" w:rsidRDefault="00DF09EA">
      <w:pPr>
        <w:rPr>
          <w:rFonts w:ascii="Arial" w:hAnsi="Arial" w:cs="Arial"/>
          <w:sz w:val="22"/>
        </w:rPr>
      </w:pPr>
      <w:r>
        <w:rPr>
          <w:rFonts w:ascii="Arial" w:hAnsi="Arial" w:cs="Arial"/>
          <w:b/>
          <w:bCs/>
          <w:sz w:val="22"/>
        </w:rPr>
        <w:t xml:space="preserve">Boiling point: </w:t>
      </w:r>
      <w:r>
        <w:rPr>
          <w:rFonts w:ascii="Arial" w:hAnsi="Arial" w:cs="Arial"/>
          <w:sz w:val="22"/>
        </w:rPr>
        <w:t>46.5°C at 760 mm Hg</w:t>
      </w:r>
    </w:p>
    <w:p w14:paraId="71528434" w14:textId="71376C47" w:rsidR="00DF09EA" w:rsidRDefault="00DF09EA">
      <w:pPr>
        <w:rPr>
          <w:rFonts w:ascii="Arial" w:hAnsi="Arial" w:cs="Arial"/>
          <w:sz w:val="22"/>
        </w:rPr>
      </w:pPr>
      <w:r>
        <w:rPr>
          <w:rFonts w:ascii="Arial" w:hAnsi="Arial" w:cs="Arial"/>
          <w:b/>
          <w:sz w:val="22"/>
        </w:rPr>
        <w:t>Flammability:</w:t>
      </w:r>
      <w:r w:rsidR="00A91947">
        <w:rPr>
          <w:rFonts w:ascii="Arial" w:hAnsi="Arial" w:cs="Arial"/>
          <w:sz w:val="22"/>
        </w:rPr>
        <w:t xml:space="preserve"> </w:t>
      </w:r>
      <w:r>
        <w:rPr>
          <w:rFonts w:ascii="Arial" w:hAnsi="Arial" w:cs="Arial"/>
          <w:sz w:val="22"/>
          <w:lang w:val="en-CA"/>
        </w:rPr>
        <w:t xml:space="preserve">Explosive limits: upper = 50%, </w:t>
      </w:r>
      <w:r>
        <w:rPr>
          <w:rFonts w:ascii="Arial" w:hAnsi="Arial" w:cs="Arial"/>
          <w:sz w:val="22"/>
        </w:rPr>
        <w:t>lower = 1.25%</w:t>
      </w:r>
    </w:p>
    <w:p w14:paraId="05A6BD4C" w14:textId="77777777" w:rsidR="00DF09EA" w:rsidRDefault="00DF09EA">
      <w:pPr>
        <w:rPr>
          <w:rFonts w:ascii="Arial" w:hAnsi="Arial" w:cs="Arial"/>
          <w:b/>
          <w:bCs/>
          <w:sz w:val="22"/>
        </w:rPr>
      </w:pPr>
      <w:r>
        <w:rPr>
          <w:rFonts w:ascii="Arial" w:hAnsi="Arial" w:cs="Arial"/>
          <w:b/>
          <w:bCs/>
          <w:sz w:val="22"/>
        </w:rPr>
        <w:t xml:space="preserve">Specific Gravity: </w:t>
      </w:r>
      <w:r>
        <w:rPr>
          <w:rFonts w:ascii="Arial" w:hAnsi="Arial" w:cs="Arial"/>
          <w:sz w:val="22"/>
        </w:rPr>
        <w:t>1.293</w:t>
      </w:r>
    </w:p>
    <w:p w14:paraId="15264137" w14:textId="77777777" w:rsidR="00DF09EA" w:rsidRDefault="00DF09EA" w:rsidP="006968A3">
      <w:pPr>
        <w:pStyle w:val="Heading2"/>
        <w:keepNext/>
        <w:rPr>
          <w:bCs w:val="0"/>
          <w:lang w:val="en-CA"/>
        </w:rPr>
      </w:pPr>
      <w:r>
        <w:rPr>
          <w:lang w:val="en-CA"/>
        </w:rPr>
        <w:t>FORMS, USES, APPLICATIONS, and EXPOSURES</w:t>
      </w:r>
    </w:p>
    <w:p w14:paraId="77A09C17" w14:textId="77777777" w:rsidR="00DF09EA" w:rsidRDefault="00DF09EA">
      <w:pPr>
        <w:ind w:left="360" w:hanging="360"/>
        <w:rPr>
          <w:rFonts w:ascii="Arial" w:hAnsi="Arial" w:cs="Arial"/>
          <w:sz w:val="22"/>
        </w:rPr>
      </w:pPr>
      <w:r>
        <w:rPr>
          <w:rFonts w:ascii="Arial" w:hAnsi="Arial" w:cs="Arial"/>
          <w:b/>
          <w:sz w:val="22"/>
        </w:rPr>
        <w:t>Major Commercial Forms:</w:t>
      </w:r>
      <w:r>
        <w:rPr>
          <w:rFonts w:ascii="Arial" w:hAnsi="Arial" w:cs="Arial"/>
          <w:sz w:val="22"/>
        </w:rPr>
        <w:t xml:space="preserve"> Grades of Purity: Commercial; technical; USP. </w:t>
      </w:r>
      <w:r>
        <w:rPr>
          <w:rFonts w:ascii="Arial" w:hAnsi="Arial" w:cs="Arial"/>
          <w:sz w:val="22"/>
          <w:szCs w:val="24"/>
        </w:rPr>
        <w:t>Modern plants can manufacture the chemical to about 99.99% purity.</w:t>
      </w:r>
    </w:p>
    <w:p w14:paraId="679118A3" w14:textId="559D4997" w:rsidR="00DF09EA" w:rsidRDefault="00DF09EA">
      <w:pPr>
        <w:ind w:left="360" w:hanging="360"/>
        <w:rPr>
          <w:rFonts w:ascii="Arial" w:hAnsi="Arial" w:cs="Arial"/>
          <w:sz w:val="22"/>
        </w:rPr>
      </w:pPr>
      <w:r>
        <w:rPr>
          <w:rFonts w:ascii="Arial" w:hAnsi="Arial" w:cs="Arial"/>
          <w:b/>
          <w:sz w:val="22"/>
        </w:rPr>
        <w:t>Uses &amp; Applications:</w:t>
      </w:r>
      <w:r w:rsidR="00A91947">
        <w:rPr>
          <w:rFonts w:ascii="Arial" w:hAnsi="Arial" w:cs="Arial"/>
          <w:sz w:val="22"/>
        </w:rPr>
        <w:t xml:space="preserve"> </w:t>
      </w:r>
      <w:r>
        <w:rPr>
          <w:rFonts w:ascii="Arial" w:hAnsi="Arial" w:cs="Arial"/>
          <w:sz w:val="22"/>
        </w:rPr>
        <w:t>The most prominent industrial use of CS</w:t>
      </w:r>
      <w:r>
        <w:rPr>
          <w:rFonts w:ascii="Arial" w:hAnsi="Arial" w:cs="Arial"/>
          <w:sz w:val="22"/>
          <w:szCs w:val="15"/>
        </w:rPr>
        <w:t xml:space="preserve">2 </w:t>
      </w:r>
      <w:r>
        <w:rPr>
          <w:rFonts w:ascii="Arial" w:hAnsi="Arial" w:cs="Arial"/>
          <w:sz w:val="22"/>
        </w:rPr>
        <w:t>is in the production of viscose rayon fibers; it is also used in the production of carbon tetrachloride and cellophane. Carbon disulfide is used as a solvent for rubber, sulfur, oils, resins, and waxes, and has been used for soil fumigation and insect control in stored grain. Industrial processes that produce carbon disulfide as a by-product include coal blast furnaces and oil refining.</w:t>
      </w:r>
      <w:r w:rsidR="00A91947">
        <w:rPr>
          <w:rFonts w:ascii="Arial" w:hAnsi="Arial" w:cs="Arial"/>
          <w:sz w:val="22"/>
        </w:rPr>
        <w:t xml:space="preserve"> </w:t>
      </w:r>
      <w:r>
        <w:rPr>
          <w:rFonts w:ascii="Arial" w:hAnsi="Arial" w:cs="Arial"/>
          <w:sz w:val="22"/>
        </w:rPr>
        <w:t xml:space="preserve">EPA EPCRA database reports list five </w:t>
      </w:r>
      <w:smartTag w:uri="urn:schemas-microsoft-com:office:smarttags" w:element="State">
        <w:smartTag w:uri="urn:schemas-microsoft-com:office:smarttags" w:element="place">
          <w:r>
            <w:rPr>
              <w:rFonts w:ascii="Arial" w:hAnsi="Arial" w:cs="Arial"/>
              <w:sz w:val="22"/>
            </w:rPr>
            <w:t>California</w:t>
          </w:r>
        </w:smartTag>
      </w:smartTag>
      <w:r>
        <w:rPr>
          <w:rFonts w:ascii="Arial" w:hAnsi="Arial" w:cs="Arial"/>
          <w:sz w:val="22"/>
        </w:rPr>
        <w:t xml:space="preserve"> oil refineries with reportable quantities of carbon disulfide.</w:t>
      </w:r>
    </w:p>
    <w:p w14:paraId="446B0FD6" w14:textId="5C43C27A" w:rsidR="00DF09EA" w:rsidRDefault="00DF09EA">
      <w:pPr>
        <w:ind w:left="360" w:hanging="360"/>
        <w:rPr>
          <w:rFonts w:ascii="Arial" w:hAnsi="Arial" w:cs="Arial"/>
          <w:sz w:val="22"/>
          <w:szCs w:val="18"/>
        </w:rPr>
      </w:pPr>
      <w:r>
        <w:rPr>
          <w:rFonts w:ascii="Arial" w:hAnsi="Arial" w:cs="Arial"/>
          <w:b/>
          <w:sz w:val="22"/>
        </w:rPr>
        <w:t>Exposure Routes:</w:t>
      </w:r>
      <w:r>
        <w:rPr>
          <w:rFonts w:ascii="Arial" w:hAnsi="Arial" w:cs="Arial"/>
          <w:sz w:val="22"/>
        </w:rPr>
        <w:t xml:space="preserve"> </w:t>
      </w:r>
      <w:r>
        <w:rPr>
          <w:rFonts w:ascii="Arial" w:hAnsi="Arial" w:cs="Arial"/>
          <w:sz w:val="22"/>
          <w:szCs w:val="24"/>
        </w:rPr>
        <w:t>inhalation, dermal, ingestion.</w:t>
      </w:r>
      <w:r w:rsidR="00A91947">
        <w:rPr>
          <w:rFonts w:ascii="Arial" w:hAnsi="Arial" w:cs="Arial"/>
          <w:sz w:val="22"/>
          <w:szCs w:val="24"/>
        </w:rPr>
        <w:t xml:space="preserve"> </w:t>
      </w:r>
      <w:r>
        <w:rPr>
          <w:rFonts w:ascii="Arial" w:hAnsi="Arial" w:cs="Arial"/>
          <w:sz w:val="22"/>
          <w:szCs w:val="24"/>
        </w:rPr>
        <w:t>One IH lab has reported taking air samples for CS2 but stopped after finding no significant exposures.</w:t>
      </w:r>
      <w:r>
        <w:rPr>
          <w:rFonts w:ascii="Arial" w:hAnsi="Arial" w:cs="Arial"/>
          <w:sz w:val="22"/>
          <w:szCs w:val="18"/>
        </w:rPr>
        <w:t xml:space="preserve"> </w:t>
      </w:r>
    </w:p>
    <w:p w14:paraId="5A4B70CA" w14:textId="77777777" w:rsidR="00DF09EA" w:rsidRDefault="00DF09EA">
      <w:pPr>
        <w:pStyle w:val="BodyText"/>
        <w:rPr>
          <w:lang w:val="en-CA"/>
        </w:rPr>
      </w:pPr>
      <w:r>
        <w:rPr>
          <w:b/>
          <w:bCs/>
          <w:lang w:val="en-CA"/>
        </w:rPr>
        <w:t>Imports:</w:t>
      </w:r>
      <w:r>
        <w:rPr>
          <w:lang w:val="en-CA"/>
        </w:rPr>
        <w:t xml:space="preserve"> (1985) 1.36X10+9 g</w:t>
      </w:r>
    </w:p>
    <w:p w14:paraId="1B32CC61" w14:textId="77777777" w:rsidR="00DF09EA" w:rsidRDefault="00DF09EA">
      <w:pPr>
        <w:ind w:left="360" w:hanging="360"/>
        <w:rPr>
          <w:rFonts w:ascii="Arial" w:hAnsi="Arial" w:cs="Arial"/>
          <w:sz w:val="22"/>
          <w:szCs w:val="18"/>
        </w:rPr>
      </w:pPr>
      <w:r>
        <w:rPr>
          <w:rFonts w:ascii="Arial" w:hAnsi="Arial" w:cs="Arial"/>
          <w:b/>
          <w:bCs/>
          <w:sz w:val="22"/>
        </w:rPr>
        <w:t>Exports:</w:t>
      </w:r>
      <w:r>
        <w:rPr>
          <w:rFonts w:ascii="Arial" w:hAnsi="Arial" w:cs="Arial"/>
          <w:sz w:val="22"/>
        </w:rPr>
        <w:t xml:space="preserve"> (1985) 1.64X10+9 g</w:t>
      </w:r>
    </w:p>
    <w:p w14:paraId="0DC99DC9" w14:textId="77777777" w:rsidR="00DF09EA" w:rsidRDefault="00DF09EA" w:rsidP="006968A3">
      <w:pPr>
        <w:pStyle w:val="Heading2"/>
        <w:keepNext/>
        <w:rPr>
          <w:rFonts w:cs="Arial"/>
          <w:b w:val="0"/>
          <w:bCs w:val="0"/>
        </w:rPr>
      </w:pPr>
      <w:r>
        <w:rPr>
          <w:rFonts w:cs="Arial"/>
        </w:rPr>
        <w:t>MEASUREMENT INFORMATION:</w:t>
      </w:r>
    </w:p>
    <w:p w14:paraId="0AB6E803" w14:textId="095A4ED2" w:rsidR="00DF09EA" w:rsidRDefault="00DF09EA">
      <w:pPr>
        <w:ind w:left="360" w:hanging="360"/>
        <w:rPr>
          <w:rFonts w:ascii="Arial" w:hAnsi="Arial" w:cs="Arial"/>
          <w:sz w:val="22"/>
          <w:szCs w:val="18"/>
        </w:rPr>
      </w:pPr>
      <w:r>
        <w:rPr>
          <w:rFonts w:ascii="Arial" w:hAnsi="Arial" w:cs="Arial"/>
          <w:b/>
          <w:bCs/>
          <w:sz w:val="22"/>
          <w:szCs w:val="18"/>
        </w:rPr>
        <w:t>NIOSH Method:</w:t>
      </w:r>
      <w:r>
        <w:rPr>
          <w:rFonts w:ascii="Arial" w:hAnsi="Arial" w:cs="Arial"/>
          <w:sz w:val="22"/>
          <w:szCs w:val="18"/>
        </w:rPr>
        <w:t xml:space="preserve"> NIOSH Method: 1600, Matrix: Air,</w:t>
      </w:r>
      <w:r w:rsidR="00A91947">
        <w:rPr>
          <w:rFonts w:ascii="Arial" w:hAnsi="Arial" w:cs="Arial"/>
          <w:sz w:val="22"/>
          <w:szCs w:val="18"/>
        </w:rPr>
        <w:t xml:space="preserve"> </w:t>
      </w:r>
      <w:r>
        <w:rPr>
          <w:rFonts w:ascii="Arial" w:hAnsi="Arial" w:cs="Arial"/>
          <w:sz w:val="22"/>
          <w:szCs w:val="18"/>
        </w:rPr>
        <w:t>Sampler: Solid sorbent plus drying tube (coconut shell charcoal, 100 mg/50 mg, and sodium, sulfate, 270 mg).</w:t>
      </w:r>
      <w:r w:rsidR="00A91947">
        <w:rPr>
          <w:rFonts w:ascii="Arial" w:hAnsi="Arial" w:cs="Arial"/>
          <w:sz w:val="22"/>
          <w:szCs w:val="18"/>
        </w:rPr>
        <w:t xml:space="preserve"> </w:t>
      </w:r>
      <w:r>
        <w:rPr>
          <w:rFonts w:ascii="Arial" w:hAnsi="Arial" w:cs="Arial"/>
          <w:sz w:val="22"/>
          <w:szCs w:val="18"/>
        </w:rPr>
        <w:t>Limit of Detection: 0.02 mg (one lab reported a 0.01 mg); Flow Rate: 0.01 to 0.2 l/min.; Estimated LOD for STEL sample is 2 ppm and TWA sample is 1.3 ppm (method sample volume max is 5 liters).</w:t>
      </w:r>
    </w:p>
    <w:p w14:paraId="25EF7337" w14:textId="77777777" w:rsidR="00DF09EA" w:rsidRDefault="00DF09EA">
      <w:pPr>
        <w:rPr>
          <w:rFonts w:ascii="Arial" w:hAnsi="Arial" w:cs="Arial"/>
          <w:sz w:val="22"/>
          <w:szCs w:val="18"/>
        </w:rPr>
      </w:pPr>
      <w:r>
        <w:rPr>
          <w:rFonts w:ascii="Arial" w:hAnsi="Arial" w:cs="Arial"/>
          <w:b/>
          <w:bCs/>
          <w:sz w:val="22"/>
          <w:szCs w:val="18"/>
        </w:rPr>
        <w:t>Detector Tube</w:t>
      </w:r>
      <w:r>
        <w:rPr>
          <w:rStyle w:val="bold1"/>
          <w:b w:val="0"/>
          <w:bCs w:val="0"/>
        </w:rPr>
        <w:t xml:space="preserve">: </w:t>
      </w:r>
      <w:r>
        <w:rPr>
          <w:rStyle w:val="bold1"/>
          <w:rFonts w:ascii="Arial" w:hAnsi="Arial" w:cs="Arial"/>
          <w:b w:val="0"/>
          <w:bCs w:val="0"/>
          <w:sz w:val="22"/>
          <w:szCs w:val="18"/>
        </w:rPr>
        <w:t>Gastec</w:t>
      </w:r>
      <w:r>
        <w:rPr>
          <w:rFonts w:ascii="Arial" w:hAnsi="Arial" w:cs="Arial"/>
          <w:sz w:val="22"/>
          <w:szCs w:val="18"/>
        </w:rPr>
        <w:t xml:space="preserve"> </w:t>
      </w:r>
      <w:r>
        <w:rPr>
          <w:rStyle w:val="bold1"/>
          <w:rFonts w:ascii="Arial" w:hAnsi="Arial" w:cs="Arial"/>
          <w:b w:val="0"/>
          <w:bCs w:val="0"/>
          <w:sz w:val="22"/>
          <w:szCs w:val="18"/>
        </w:rPr>
        <w:t>detection limit:</w:t>
      </w:r>
      <w:r>
        <w:rPr>
          <w:rFonts w:ascii="Arial" w:hAnsi="Arial" w:cs="Arial"/>
          <w:sz w:val="22"/>
          <w:szCs w:val="18"/>
        </w:rPr>
        <w:t xml:space="preserve"> 0.3 ppm; </w:t>
      </w:r>
      <w:r>
        <w:rPr>
          <w:rFonts w:ascii="Arial" w:hAnsi="Arial" w:cs="Arial"/>
          <w:color w:val="000000"/>
          <w:sz w:val="22"/>
          <w:szCs w:val="19"/>
        </w:rPr>
        <w:t>Matheson-Kitagawa, detection limit 1 ppm.</w:t>
      </w:r>
    </w:p>
    <w:p w14:paraId="6E23BA54" w14:textId="3D4BD6EE" w:rsidR="00DF09EA" w:rsidRDefault="00DF09EA">
      <w:pPr>
        <w:ind w:left="360" w:hanging="360"/>
        <w:rPr>
          <w:rFonts w:ascii="Arial" w:hAnsi="Arial" w:cs="Arial"/>
          <w:sz w:val="22"/>
        </w:rPr>
      </w:pPr>
      <w:r>
        <w:rPr>
          <w:rFonts w:ascii="Arial" w:hAnsi="Arial" w:cs="Arial"/>
          <w:b/>
          <w:bCs/>
          <w:sz w:val="22"/>
          <w:szCs w:val="24"/>
        </w:rPr>
        <w:t>Biomonitoring:</w:t>
      </w:r>
      <w:r>
        <w:rPr>
          <w:rFonts w:ascii="Arial" w:hAnsi="Arial" w:cs="Arial"/>
          <w:sz w:val="22"/>
          <w:szCs w:val="24"/>
        </w:rPr>
        <w:t xml:space="preserve"> It is metabolized to several metabolites including 2-thiothiazolidine-4-carboxylic acid (TTCA).</w:t>
      </w:r>
      <w:r w:rsidR="00A91947">
        <w:rPr>
          <w:rFonts w:ascii="Arial" w:hAnsi="Arial" w:cs="Arial"/>
          <w:sz w:val="22"/>
          <w:szCs w:val="24"/>
        </w:rPr>
        <w:t xml:space="preserve"> </w:t>
      </w:r>
      <w:r>
        <w:rPr>
          <w:rFonts w:ascii="Arial" w:hAnsi="Arial" w:cs="Arial"/>
          <w:sz w:val="22"/>
          <w:szCs w:val="24"/>
        </w:rPr>
        <w:t>ACGIH BEI: 5 mg TTCA in urine / gm creatinine.</w:t>
      </w:r>
    </w:p>
    <w:p w14:paraId="5C3A1914" w14:textId="77777777" w:rsidR="00DF09EA" w:rsidRDefault="00DF09EA" w:rsidP="006968A3">
      <w:pPr>
        <w:pStyle w:val="Heading2"/>
        <w:keepNext/>
        <w:rPr>
          <w:bCs w:val="0"/>
        </w:rPr>
      </w:pPr>
      <w:r>
        <w:t>HUMAN HEALTH HAZARD DATA SUMMARY</w:t>
      </w:r>
    </w:p>
    <w:p w14:paraId="19C077EB" w14:textId="77777777" w:rsidR="00B32791" w:rsidRPr="00B32791" w:rsidRDefault="00DF09EA" w:rsidP="00B32791">
      <w:pPr>
        <w:pStyle w:val="Heading3"/>
      </w:pPr>
      <w:r>
        <w:t xml:space="preserve">Chronic Toxicity: </w:t>
      </w:r>
    </w:p>
    <w:p w14:paraId="0A7ADBBE" w14:textId="77777777" w:rsidR="00B32791" w:rsidRDefault="00DF09EA" w:rsidP="00B32791">
      <w:pPr>
        <w:ind w:left="360"/>
        <w:rPr>
          <w:rFonts w:ascii="Arial" w:hAnsi="Arial" w:cs="Arial"/>
          <w:sz w:val="22"/>
          <w:szCs w:val="24"/>
        </w:rPr>
        <w:sectPr w:rsidR="00B3279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720" w:left="1440" w:header="720" w:footer="720" w:gutter="0"/>
          <w:cols w:space="720"/>
        </w:sectPr>
      </w:pPr>
      <w:r>
        <w:rPr>
          <w:rFonts w:ascii="Arial" w:hAnsi="Arial" w:cs="Arial"/>
          <w:sz w:val="22"/>
          <w:szCs w:val="24"/>
        </w:rPr>
        <w:t xml:space="preserve">Nervous system effects appear to be most sensitive target organ, reduced conduction velocity in the peripheral nerves and impaired performance in psychomotor testing. Other effects include alterations in serum lipids and blood pressure that are associated with increased risk of cardiovascular disease, systemic eye pathologies such as color vision and </w:t>
      </w:r>
    </w:p>
    <w:p w14:paraId="3BE0F2E7" w14:textId="197DE043" w:rsidR="00DF09EA" w:rsidRDefault="00DF09EA" w:rsidP="00E75A4A">
      <w:pPr>
        <w:ind w:left="360"/>
        <w:rPr>
          <w:rFonts w:ascii="Arial" w:hAnsi="Arial" w:cs="Arial"/>
          <w:b/>
          <w:bCs/>
          <w:sz w:val="22"/>
        </w:rPr>
      </w:pPr>
      <w:r>
        <w:rPr>
          <w:rFonts w:ascii="Arial" w:hAnsi="Arial" w:cs="Arial"/>
          <w:sz w:val="22"/>
          <w:szCs w:val="24"/>
        </w:rPr>
        <w:lastRenderedPageBreak/>
        <w:t>damage to the blood vessels of the retina, reproductive effects (developmental – reduced fetal weights), and with higher exposures increased mortality from heart disease.</w:t>
      </w:r>
      <w:r w:rsidR="00A91947">
        <w:rPr>
          <w:rFonts w:ascii="Arial" w:hAnsi="Arial" w:cs="Arial"/>
          <w:sz w:val="22"/>
          <w:szCs w:val="24"/>
        </w:rPr>
        <w:t xml:space="preserve"> </w:t>
      </w:r>
      <w:r>
        <w:rPr>
          <w:rFonts w:ascii="Arial" w:hAnsi="Arial" w:cs="Arial"/>
          <w:sz w:val="22"/>
        </w:rPr>
        <w:t>Carbon disulfide is listed under the State of California Proposition 65 as known to cause male and female reproductive toxicity and developmental toxicity.</w:t>
      </w:r>
      <w:r w:rsidR="00A91947">
        <w:rPr>
          <w:rFonts w:ascii="Arial" w:hAnsi="Arial" w:cs="Arial"/>
          <w:sz w:val="22"/>
          <w:szCs w:val="24"/>
        </w:rPr>
        <w:t xml:space="preserve"> </w:t>
      </w:r>
      <w:r>
        <w:rPr>
          <w:rFonts w:ascii="Arial" w:hAnsi="Arial" w:cs="Arial"/>
          <w:sz w:val="22"/>
          <w:szCs w:val="24"/>
        </w:rPr>
        <w:t>These effects were observed at higher exposures than those causing peripheral neuropathy.</w:t>
      </w:r>
      <w:r w:rsidR="00A91947">
        <w:rPr>
          <w:rFonts w:ascii="Arial" w:hAnsi="Arial" w:cs="Arial"/>
          <w:sz w:val="22"/>
          <w:szCs w:val="24"/>
        </w:rPr>
        <w:t xml:space="preserve"> </w:t>
      </w:r>
      <w:r>
        <w:rPr>
          <w:rFonts w:ascii="Arial" w:hAnsi="Arial" w:cs="Arial"/>
          <w:sz w:val="22"/>
          <w:szCs w:val="24"/>
        </w:rPr>
        <w:t xml:space="preserve">No evidence of carcinogenicity has been observed in limited epidemiological studies. </w:t>
      </w:r>
    </w:p>
    <w:p w14:paraId="3FD34B34" w14:textId="4B68BEDE" w:rsidR="00DF09EA" w:rsidRPr="006968A3" w:rsidRDefault="00DF09EA" w:rsidP="00B32791">
      <w:pPr>
        <w:pStyle w:val="Heading3"/>
      </w:pPr>
      <w:r>
        <w:t>Acute Toxicity:</w:t>
      </w:r>
      <w:r w:rsidR="00B32791">
        <w:t xml:space="preserve"> </w:t>
      </w:r>
    </w:p>
    <w:p w14:paraId="27F8E814" w14:textId="0D45B991" w:rsidR="00DF09EA" w:rsidRDefault="00DF09EA">
      <w:pPr>
        <w:ind w:left="360"/>
        <w:rPr>
          <w:rFonts w:ascii="Arial" w:hAnsi="Arial" w:cs="Arial"/>
          <w:sz w:val="22"/>
          <w:lang w:val="en-CA"/>
        </w:rPr>
      </w:pPr>
      <w:r>
        <w:rPr>
          <w:rFonts w:ascii="Arial" w:hAnsi="Arial" w:cs="Arial"/>
          <w:sz w:val="22"/>
          <w:lang w:val="en-CA"/>
        </w:rPr>
        <w:t>CNS effects such as polyneuritis, psychosis, gastric disturbances, headaches, vertigo, impotence, tremors, sleep disturbances.</w:t>
      </w:r>
      <w:r w:rsidR="00A91947">
        <w:rPr>
          <w:rFonts w:ascii="Arial" w:hAnsi="Arial" w:cs="Arial"/>
          <w:sz w:val="22"/>
          <w:lang w:val="en-CA"/>
        </w:rPr>
        <w:t xml:space="preserve"> </w:t>
      </w:r>
      <w:r>
        <w:rPr>
          <w:rFonts w:ascii="Arial" w:hAnsi="Arial" w:cs="Arial"/>
          <w:sz w:val="22"/>
          <w:lang w:val="en-CA"/>
        </w:rPr>
        <w:t>For these effects to occur the exposure has to be 50 to 100 times exposures associated with peripheral neuropathy.</w:t>
      </w:r>
    </w:p>
    <w:p w14:paraId="12EC071C" w14:textId="0C6F2F5B" w:rsidR="00DF09EA" w:rsidRDefault="00DF09EA" w:rsidP="00B32791">
      <w:pPr>
        <w:pStyle w:val="Heading3"/>
        <w:rPr>
          <w:i/>
          <w:iCs/>
        </w:rPr>
      </w:pPr>
      <w:r>
        <w:t>Other Information:</w:t>
      </w:r>
      <w:r w:rsidR="00B32791">
        <w:t xml:space="preserve"> </w:t>
      </w:r>
    </w:p>
    <w:p w14:paraId="03D9675C" w14:textId="16E09668" w:rsidR="00DF09EA" w:rsidRDefault="00DF09EA">
      <w:pPr>
        <w:ind w:left="360"/>
        <w:rPr>
          <w:rFonts w:ascii="Arial" w:hAnsi="Arial" w:cs="Arial"/>
          <w:sz w:val="22"/>
          <w:szCs w:val="24"/>
        </w:rPr>
      </w:pPr>
      <w:r>
        <w:rPr>
          <w:rFonts w:ascii="Arial" w:hAnsi="Arial" w:cs="Arial"/>
          <w:sz w:val="22"/>
        </w:rPr>
        <w:t>Toxic amounts may be absorbed via the skin (</w:t>
      </w:r>
      <w:proofErr w:type="spellStart"/>
      <w:r>
        <w:rPr>
          <w:rFonts w:ascii="Arial" w:hAnsi="Arial" w:cs="Arial"/>
          <w:sz w:val="22"/>
        </w:rPr>
        <w:t>Fairhill</w:t>
      </w:r>
      <w:proofErr w:type="spellEnd"/>
      <w:r>
        <w:rPr>
          <w:rFonts w:ascii="Arial" w:hAnsi="Arial" w:cs="Arial"/>
          <w:sz w:val="22"/>
        </w:rPr>
        <w:t>, 1957). One study calculated a human dermal absorption rate of 0.232 to 0.78 mg/cm(2)/</w:t>
      </w:r>
      <w:proofErr w:type="spellStart"/>
      <w:r>
        <w:rPr>
          <w:rFonts w:ascii="Arial" w:hAnsi="Arial" w:cs="Arial"/>
          <w:sz w:val="22"/>
        </w:rPr>
        <w:t>hr</w:t>
      </w:r>
      <w:proofErr w:type="spellEnd"/>
      <w:r>
        <w:rPr>
          <w:rFonts w:ascii="Arial" w:hAnsi="Arial" w:cs="Arial"/>
          <w:sz w:val="22"/>
        </w:rPr>
        <w:t xml:space="preserve"> (</w:t>
      </w:r>
      <w:proofErr w:type="spellStart"/>
      <w:r>
        <w:rPr>
          <w:rFonts w:ascii="Arial" w:hAnsi="Arial" w:cs="Arial"/>
          <w:sz w:val="22"/>
        </w:rPr>
        <w:t>Dutkiewicz</w:t>
      </w:r>
      <w:proofErr w:type="spellEnd"/>
      <w:r>
        <w:rPr>
          <w:rFonts w:ascii="Arial" w:hAnsi="Arial" w:cs="Arial"/>
          <w:sz w:val="22"/>
        </w:rPr>
        <w:t xml:space="preserve"> &amp; </w:t>
      </w:r>
      <w:proofErr w:type="spellStart"/>
      <w:r>
        <w:rPr>
          <w:rFonts w:ascii="Arial" w:hAnsi="Arial" w:cs="Arial"/>
          <w:sz w:val="22"/>
        </w:rPr>
        <w:t>Baranowska</w:t>
      </w:r>
      <w:proofErr w:type="spellEnd"/>
      <w:r>
        <w:rPr>
          <w:rFonts w:ascii="Arial" w:hAnsi="Arial" w:cs="Arial"/>
          <w:sz w:val="22"/>
        </w:rPr>
        <w:t>, 1967).</w:t>
      </w:r>
      <w:r w:rsidR="00A91947">
        <w:t xml:space="preserve"> </w:t>
      </w:r>
      <w:r>
        <w:rPr>
          <w:rFonts w:ascii="Arial" w:hAnsi="Arial" w:cs="Arial"/>
          <w:sz w:val="22"/>
          <w:szCs w:val="24"/>
        </w:rPr>
        <w:t>Persons with disorders of the central nervous system, eyes, cardiovascular system, kidneys, and liver may be more sensitive to CS</w:t>
      </w:r>
      <w:r>
        <w:rPr>
          <w:rFonts w:ascii="Arial" w:hAnsi="Arial" w:cs="Arial"/>
          <w:sz w:val="22"/>
          <w:szCs w:val="15"/>
        </w:rPr>
        <w:t xml:space="preserve">2 </w:t>
      </w:r>
      <w:r>
        <w:rPr>
          <w:rFonts w:ascii="Arial" w:hAnsi="Arial" w:cs="Arial"/>
          <w:sz w:val="22"/>
          <w:szCs w:val="24"/>
        </w:rPr>
        <w:t>(</w:t>
      </w:r>
      <w:proofErr w:type="spellStart"/>
      <w:r>
        <w:rPr>
          <w:rFonts w:ascii="Arial" w:hAnsi="Arial" w:cs="Arial"/>
          <w:sz w:val="22"/>
          <w:szCs w:val="24"/>
        </w:rPr>
        <w:t>Reprotext</w:t>
      </w:r>
      <w:proofErr w:type="spellEnd"/>
      <w:r>
        <w:rPr>
          <w:rFonts w:ascii="Arial" w:hAnsi="Arial" w:cs="Arial"/>
          <w:sz w:val="22"/>
          <w:szCs w:val="24"/>
        </w:rPr>
        <w:t>, 1999). Persons taking disulfiram (Antabuse) may be more sensitive to CS</w:t>
      </w:r>
      <w:r>
        <w:rPr>
          <w:rFonts w:ascii="Arial" w:hAnsi="Arial" w:cs="Arial"/>
          <w:sz w:val="22"/>
          <w:szCs w:val="15"/>
        </w:rPr>
        <w:t xml:space="preserve">2 </w:t>
      </w:r>
      <w:r>
        <w:rPr>
          <w:rFonts w:ascii="Arial" w:hAnsi="Arial" w:cs="Arial"/>
          <w:sz w:val="22"/>
          <w:szCs w:val="24"/>
        </w:rPr>
        <w:t>(</w:t>
      </w:r>
      <w:proofErr w:type="spellStart"/>
      <w:r>
        <w:rPr>
          <w:rFonts w:ascii="Arial" w:hAnsi="Arial" w:cs="Arial"/>
          <w:sz w:val="22"/>
          <w:szCs w:val="24"/>
        </w:rPr>
        <w:t>Brugnone</w:t>
      </w:r>
      <w:proofErr w:type="spellEnd"/>
      <w:r>
        <w:rPr>
          <w:rFonts w:ascii="Arial" w:hAnsi="Arial" w:cs="Arial"/>
          <w:sz w:val="22"/>
          <w:szCs w:val="24"/>
        </w:rPr>
        <w:t xml:space="preserve"> et al, 1992; </w:t>
      </w:r>
      <w:proofErr w:type="spellStart"/>
      <w:r>
        <w:rPr>
          <w:rFonts w:ascii="Arial" w:hAnsi="Arial" w:cs="Arial"/>
          <w:sz w:val="22"/>
          <w:szCs w:val="24"/>
        </w:rPr>
        <w:t>Caroldi</w:t>
      </w:r>
      <w:proofErr w:type="spellEnd"/>
      <w:r>
        <w:rPr>
          <w:rFonts w:ascii="Arial" w:hAnsi="Arial" w:cs="Arial"/>
          <w:sz w:val="22"/>
          <w:szCs w:val="24"/>
        </w:rPr>
        <w:t xml:space="preserve"> et al, 1994) since disulfiram is metabolized to CS</w:t>
      </w:r>
      <w:r>
        <w:rPr>
          <w:rFonts w:ascii="Arial" w:hAnsi="Arial" w:cs="Arial"/>
          <w:sz w:val="22"/>
          <w:szCs w:val="15"/>
        </w:rPr>
        <w:t>2</w:t>
      </w:r>
      <w:r>
        <w:rPr>
          <w:rFonts w:ascii="Arial" w:hAnsi="Arial" w:cs="Arial"/>
          <w:sz w:val="22"/>
          <w:szCs w:val="24"/>
        </w:rPr>
        <w:t>.</w:t>
      </w:r>
      <w:r w:rsidR="00A91947">
        <w:rPr>
          <w:rFonts w:ascii="Arial" w:hAnsi="Arial" w:cs="Arial"/>
          <w:sz w:val="22"/>
        </w:rPr>
        <w:t xml:space="preserve"> </w:t>
      </w:r>
      <w:r>
        <w:rPr>
          <w:rFonts w:ascii="Arial" w:hAnsi="Arial" w:cs="Arial"/>
          <w:sz w:val="22"/>
          <w:szCs w:val="24"/>
        </w:rPr>
        <w:t>Human subjects exposed for 6 hours to 10 ppm (30 mg/m³) CS</w:t>
      </w:r>
      <w:r>
        <w:rPr>
          <w:rFonts w:ascii="Arial" w:hAnsi="Arial" w:cs="Arial"/>
          <w:sz w:val="22"/>
          <w:szCs w:val="15"/>
        </w:rPr>
        <w:t xml:space="preserve">2 </w:t>
      </w:r>
      <w:r>
        <w:rPr>
          <w:rFonts w:ascii="Arial" w:hAnsi="Arial" w:cs="Arial"/>
          <w:sz w:val="22"/>
          <w:szCs w:val="24"/>
        </w:rPr>
        <w:t xml:space="preserve">exhibited an inhibition of oxidative N-demethylation (Mack </w:t>
      </w:r>
      <w:r>
        <w:rPr>
          <w:rFonts w:ascii="Arial" w:hAnsi="Arial" w:cs="Arial"/>
          <w:i/>
          <w:iCs/>
          <w:sz w:val="22"/>
          <w:szCs w:val="24"/>
        </w:rPr>
        <w:t>et al</w:t>
      </w:r>
      <w:r>
        <w:rPr>
          <w:rFonts w:ascii="Arial" w:hAnsi="Arial" w:cs="Arial"/>
          <w:sz w:val="22"/>
          <w:szCs w:val="24"/>
        </w:rPr>
        <w:t>., 1974). In persons using drugs such as analgesics, hypnotics, antidiabetics, and anticonvulsants, which are metabolized by oxidative N-demethylation, critical elevations in the plasma levels of these agents may be observed following exposure to CS</w:t>
      </w:r>
      <w:r>
        <w:rPr>
          <w:rFonts w:ascii="Arial" w:hAnsi="Arial" w:cs="Arial"/>
          <w:sz w:val="22"/>
          <w:szCs w:val="15"/>
        </w:rPr>
        <w:t>2</w:t>
      </w:r>
      <w:r>
        <w:rPr>
          <w:rFonts w:ascii="Arial" w:hAnsi="Arial" w:cs="Arial"/>
          <w:sz w:val="22"/>
          <w:szCs w:val="24"/>
        </w:rPr>
        <w:t>.</w:t>
      </w:r>
    </w:p>
    <w:p w14:paraId="465EF203" w14:textId="14603363" w:rsidR="00DF09EA" w:rsidRDefault="00DF09EA" w:rsidP="00B32791">
      <w:pPr>
        <w:pStyle w:val="Heading3"/>
        <w:rPr>
          <w:lang w:val="it-IT"/>
        </w:rPr>
      </w:pPr>
      <w:r>
        <w:rPr>
          <w:lang w:val="it-IT"/>
        </w:rPr>
        <w:t>Carcinogenicity:</w:t>
      </w:r>
      <w:r w:rsidR="00B32791">
        <w:rPr>
          <w:lang w:val="it-IT"/>
        </w:rPr>
        <w:t xml:space="preserve"> </w:t>
      </w:r>
    </w:p>
    <w:p w14:paraId="437742C5" w14:textId="77777777" w:rsidR="00DF09EA" w:rsidRDefault="00DF09EA">
      <w:pPr>
        <w:ind w:left="360"/>
        <w:rPr>
          <w:rFonts w:ascii="Arial" w:hAnsi="Arial" w:cs="Arial"/>
          <w:sz w:val="22"/>
          <w:szCs w:val="18"/>
          <w:lang w:val="it-IT"/>
        </w:rPr>
      </w:pPr>
      <w:r>
        <w:rPr>
          <w:rFonts w:ascii="Arial" w:hAnsi="Arial" w:cs="Arial"/>
          <w:sz w:val="22"/>
          <w:szCs w:val="18"/>
          <w:lang w:val="it-IT"/>
        </w:rPr>
        <w:t>ACGIH, A4, (ACGIH, 2005)</w:t>
      </w:r>
    </w:p>
    <w:p w14:paraId="514945B3" w14:textId="77777777" w:rsidR="00DF09EA" w:rsidRDefault="00DF09EA">
      <w:pPr>
        <w:ind w:left="360"/>
        <w:rPr>
          <w:rFonts w:ascii="Arial" w:hAnsi="Arial" w:cs="Arial"/>
          <w:sz w:val="22"/>
          <w:szCs w:val="18"/>
        </w:rPr>
      </w:pPr>
      <w:r>
        <w:rPr>
          <w:rFonts w:ascii="Arial" w:hAnsi="Arial" w:cs="Arial"/>
          <w:sz w:val="22"/>
          <w:szCs w:val="18"/>
        </w:rPr>
        <w:t>EPA, Not Assessed under the IRIS program, (IRIS, 2004)</w:t>
      </w:r>
    </w:p>
    <w:p w14:paraId="0303BE78" w14:textId="77777777" w:rsidR="00DF09EA" w:rsidRDefault="00DF09EA">
      <w:pPr>
        <w:ind w:left="360"/>
        <w:rPr>
          <w:rFonts w:ascii="Arial" w:hAnsi="Arial" w:cs="Arial"/>
          <w:sz w:val="22"/>
          <w:szCs w:val="18"/>
        </w:rPr>
      </w:pPr>
      <w:r>
        <w:rPr>
          <w:rFonts w:ascii="Arial" w:hAnsi="Arial" w:cs="Arial"/>
          <w:sz w:val="22"/>
          <w:szCs w:val="18"/>
        </w:rPr>
        <w:t>IARC, Not Listed, (IARC, 2004)</w:t>
      </w:r>
    </w:p>
    <w:p w14:paraId="41AEBE49" w14:textId="77777777" w:rsidR="00DF09EA" w:rsidRDefault="00DF09EA">
      <w:pPr>
        <w:ind w:left="360"/>
        <w:rPr>
          <w:rFonts w:ascii="Arial" w:hAnsi="Arial" w:cs="Arial"/>
          <w:sz w:val="22"/>
          <w:szCs w:val="18"/>
        </w:rPr>
      </w:pPr>
      <w:r>
        <w:rPr>
          <w:rFonts w:ascii="Arial" w:hAnsi="Arial" w:cs="Arial"/>
          <w:sz w:val="22"/>
          <w:szCs w:val="18"/>
        </w:rPr>
        <w:t>MAK, Not Listed, (DFG, 2002)</w:t>
      </w:r>
    </w:p>
    <w:p w14:paraId="67C6D54E" w14:textId="77777777" w:rsidR="00DF09EA" w:rsidRDefault="00DF09EA">
      <w:pPr>
        <w:ind w:left="360"/>
        <w:rPr>
          <w:rFonts w:ascii="Arial" w:hAnsi="Arial" w:cs="Arial"/>
          <w:sz w:val="22"/>
          <w:szCs w:val="18"/>
        </w:rPr>
      </w:pPr>
      <w:r>
        <w:rPr>
          <w:rFonts w:ascii="Arial" w:hAnsi="Arial" w:cs="Arial"/>
          <w:sz w:val="22"/>
          <w:szCs w:val="18"/>
        </w:rPr>
        <w:t>NIOSH, Not Listed, (NIOSH, 2003)</w:t>
      </w:r>
    </w:p>
    <w:p w14:paraId="51F1F98F" w14:textId="77777777" w:rsidR="00DF09EA" w:rsidRDefault="00DF09EA">
      <w:pPr>
        <w:ind w:left="360"/>
        <w:rPr>
          <w:rFonts w:ascii="Arial" w:hAnsi="Arial" w:cs="Arial"/>
          <w:sz w:val="22"/>
        </w:rPr>
      </w:pPr>
      <w:r>
        <w:rPr>
          <w:rFonts w:ascii="Arial" w:hAnsi="Arial" w:cs="Arial"/>
          <w:sz w:val="22"/>
          <w:szCs w:val="18"/>
        </w:rPr>
        <w:t>NTP, Not Listed, (NTP, 2005)</w:t>
      </w:r>
    </w:p>
    <w:p w14:paraId="53C8D736" w14:textId="77777777" w:rsidR="00DF09EA" w:rsidRDefault="00DF09EA" w:rsidP="006968A3">
      <w:pPr>
        <w:pStyle w:val="Heading2"/>
        <w:keepNext/>
        <w:rPr>
          <w:rFonts w:cs="Arial"/>
          <w:b w:val="0"/>
          <w:bCs w:val="0"/>
        </w:rPr>
      </w:pPr>
      <w:r>
        <w:rPr>
          <w:rFonts w:cs="Arial"/>
        </w:rPr>
        <w:t>AGENCY and ORGANIZATIONAL SOURCES AND RECOMMENDATIONS:</w:t>
      </w:r>
    </w:p>
    <w:p w14:paraId="5AF52269" w14:textId="6A1DBA73" w:rsidR="00DF09EA" w:rsidRPr="00D91A14" w:rsidRDefault="00DF09EA">
      <w:pPr>
        <w:rPr>
          <w:rFonts w:ascii="Arial" w:hAnsi="Arial" w:cs="Arial"/>
          <w:b/>
          <w:bCs/>
          <w:sz w:val="22"/>
          <w:lang w:val="fr-FR"/>
        </w:rPr>
      </w:pPr>
      <w:r w:rsidRPr="00D91A14">
        <w:rPr>
          <w:rFonts w:ascii="Arial" w:hAnsi="Arial" w:cs="Arial"/>
          <w:b/>
          <w:bCs/>
          <w:sz w:val="22"/>
          <w:lang w:val="fr-FR"/>
        </w:rPr>
        <w:t xml:space="preserve">AIHA ERPG Values </w:t>
      </w:r>
      <w:r w:rsidRPr="00D91A14">
        <w:rPr>
          <w:rFonts w:ascii="Arial" w:hAnsi="Arial" w:cs="Arial"/>
          <w:sz w:val="22"/>
          <w:lang w:val="fr-FR"/>
        </w:rPr>
        <w:t>(2006):</w:t>
      </w:r>
      <w:r w:rsidR="00A91947" w:rsidRPr="00D91A14">
        <w:rPr>
          <w:rFonts w:ascii="Arial" w:hAnsi="Arial" w:cs="Arial"/>
          <w:sz w:val="22"/>
          <w:lang w:val="fr-FR"/>
        </w:rPr>
        <w:t xml:space="preserve"> </w:t>
      </w:r>
      <w:r w:rsidRPr="00D91A14">
        <w:rPr>
          <w:rFonts w:ascii="Arial" w:hAnsi="Arial" w:cs="Arial"/>
          <w:sz w:val="22"/>
          <w:lang w:val="fr-FR"/>
        </w:rPr>
        <w:t>ERPG-1: 1 ppm; ERPG-2: 50 ppm;</w:t>
      </w:r>
      <w:r w:rsidR="00A91947" w:rsidRPr="00D91A14">
        <w:rPr>
          <w:rFonts w:ascii="Arial" w:hAnsi="Arial" w:cs="Arial"/>
          <w:sz w:val="22"/>
          <w:lang w:val="fr-FR"/>
        </w:rPr>
        <w:t xml:space="preserve"> </w:t>
      </w:r>
      <w:r w:rsidRPr="00D91A14">
        <w:rPr>
          <w:rFonts w:ascii="Arial" w:hAnsi="Arial" w:cs="Arial"/>
          <w:sz w:val="22"/>
          <w:lang w:val="fr-FR"/>
        </w:rPr>
        <w:t>ERPG-3: 500 ppm.</w:t>
      </w:r>
    </w:p>
    <w:p w14:paraId="0935F049" w14:textId="74FDB105" w:rsidR="00DF09EA" w:rsidRDefault="00DF09EA">
      <w:pPr>
        <w:ind w:left="360" w:hanging="360"/>
        <w:rPr>
          <w:rFonts w:ascii="Arial" w:hAnsi="Arial" w:cs="Arial"/>
          <w:b/>
          <w:bCs/>
          <w:sz w:val="22"/>
        </w:rPr>
      </w:pPr>
      <w:r>
        <w:rPr>
          <w:rFonts w:ascii="Arial" w:hAnsi="Arial" w:cs="Arial"/>
          <w:b/>
          <w:sz w:val="22"/>
        </w:rPr>
        <w:t>ACGIH</w:t>
      </w:r>
      <w:r>
        <w:rPr>
          <w:rFonts w:ascii="Arial" w:hAnsi="Arial" w:cs="Arial"/>
          <w:bCs/>
          <w:sz w:val="22"/>
        </w:rPr>
        <w:t>: (2006)</w:t>
      </w:r>
      <w:r>
        <w:rPr>
          <w:rFonts w:ascii="Arial" w:hAnsi="Arial" w:cs="Arial"/>
          <w:sz w:val="22"/>
        </w:rPr>
        <w:t xml:space="preserve"> TLV-</w:t>
      </w:r>
      <w:r>
        <w:rPr>
          <w:rFonts w:ascii="Arial" w:hAnsi="Arial" w:cs="Arial"/>
          <w:sz w:val="22"/>
          <w:szCs w:val="18"/>
        </w:rPr>
        <w:t>TWA 1 ppm, to protect from nervous system and all other organ systems effects, value based upon numerous references (not one in particular).</w:t>
      </w:r>
      <w:r w:rsidR="00A91947">
        <w:rPr>
          <w:rFonts w:ascii="Arial" w:hAnsi="Arial" w:cs="Arial"/>
          <w:sz w:val="22"/>
          <w:szCs w:val="18"/>
        </w:rPr>
        <w:t xml:space="preserve"> </w:t>
      </w:r>
      <w:r>
        <w:rPr>
          <w:rFonts w:ascii="Arial" w:hAnsi="Arial" w:cs="Arial"/>
          <w:sz w:val="22"/>
          <w:szCs w:val="18"/>
        </w:rPr>
        <w:t>Skin designation.</w:t>
      </w:r>
      <w:r w:rsidR="00A91947">
        <w:rPr>
          <w:rFonts w:ascii="Arial" w:hAnsi="Arial" w:cs="Arial"/>
          <w:sz w:val="22"/>
          <w:szCs w:val="18"/>
        </w:rPr>
        <w:t xml:space="preserve"> </w:t>
      </w:r>
    </w:p>
    <w:p w14:paraId="754FE7B3" w14:textId="622CC7EB" w:rsidR="00DF09EA" w:rsidRDefault="00DF09EA">
      <w:pPr>
        <w:ind w:left="360" w:hanging="360"/>
        <w:rPr>
          <w:rFonts w:ascii="Arial" w:hAnsi="Arial" w:cs="Arial"/>
          <w:sz w:val="22"/>
          <w:szCs w:val="18"/>
        </w:rPr>
      </w:pPr>
      <w:r>
        <w:rPr>
          <w:rFonts w:ascii="Arial" w:hAnsi="Arial" w:cs="Arial"/>
          <w:b/>
          <w:bCs/>
          <w:sz w:val="22"/>
        </w:rPr>
        <w:t>ATSDR</w:t>
      </w:r>
      <w:r>
        <w:rPr>
          <w:rFonts w:ascii="Arial" w:hAnsi="Arial" w:cs="Arial"/>
          <w:sz w:val="22"/>
        </w:rPr>
        <w:t xml:space="preserve"> (1996): 0.3 ppm for chronic (365 days and longer) inhalation exposures, this is a minimal risk level.</w:t>
      </w:r>
      <w:r w:rsidR="00A91947">
        <w:rPr>
          <w:rFonts w:ascii="Arial" w:hAnsi="Arial" w:cs="Arial"/>
          <w:sz w:val="22"/>
        </w:rPr>
        <w:t xml:space="preserve"> </w:t>
      </w:r>
      <w:r w:rsidRPr="007276B4">
        <w:rPr>
          <w:rFonts w:ascii="Arial" w:hAnsi="Arial" w:cs="Arial"/>
          <w:sz w:val="22"/>
        </w:rPr>
        <w:t>ATSDR identified a LOAEL of 7.6 ppm from the study by Johnson et al. (1983), who found reduction in motor nerve conduction velocities in workers chronically exposed to carbon disulfide.</w:t>
      </w:r>
      <w:r w:rsidR="00A91947">
        <w:rPr>
          <w:rFonts w:ascii="Arial" w:hAnsi="Arial" w:cs="Arial"/>
          <w:sz w:val="22"/>
        </w:rPr>
        <w:t xml:space="preserve"> </w:t>
      </w:r>
      <w:r w:rsidRPr="007276B4">
        <w:rPr>
          <w:rFonts w:ascii="Arial" w:hAnsi="Arial" w:cs="Arial"/>
          <w:sz w:val="22"/>
        </w:rPr>
        <w:t>ATSDR adjusted for continuous exposure and applied uncertainty factors of 3 to derive a NOAEL and 10 for intraspecies variation.</w:t>
      </w:r>
      <w:r w:rsidR="00A91947">
        <w:rPr>
          <w:rFonts w:ascii="Arial" w:hAnsi="Arial" w:cs="Arial"/>
          <w:sz w:val="22"/>
        </w:rPr>
        <w:t xml:space="preserve"> </w:t>
      </w:r>
      <w:r w:rsidRPr="007276B4">
        <w:rPr>
          <w:rFonts w:ascii="Arial" w:hAnsi="Arial" w:cs="Arial"/>
          <w:sz w:val="22"/>
        </w:rPr>
        <w:t>To adjust this risk assessment for the workplace, the LOAEL to NOAEL factor of 3 was retained and the intraspecies factor was reduced to 3.</w:t>
      </w:r>
      <w:r w:rsidR="00A91947">
        <w:rPr>
          <w:rFonts w:ascii="Arial" w:hAnsi="Arial" w:cs="Arial"/>
          <w:sz w:val="22"/>
        </w:rPr>
        <w:t xml:space="preserve"> </w:t>
      </w:r>
      <w:r w:rsidRPr="007276B4">
        <w:rPr>
          <w:rFonts w:ascii="Arial" w:hAnsi="Arial" w:cs="Arial"/>
          <w:sz w:val="22"/>
        </w:rPr>
        <w:t>A cumulative uncertainty factor of 10 (two factors of 3 yields 10, as 3 is the approximation for the square root of 10) was applied to the worker LOAEL of 7.6 ppm to derive a recommended workplace exposure limit of 0.8 ppm.</w:t>
      </w:r>
    </w:p>
    <w:p w14:paraId="1578AD4C" w14:textId="77777777" w:rsidR="00DF09EA" w:rsidRDefault="00DF09EA">
      <w:pPr>
        <w:ind w:left="360" w:hanging="360"/>
        <w:rPr>
          <w:rFonts w:ascii="Arial" w:hAnsi="Arial" w:cs="Arial"/>
          <w:bCs/>
          <w:sz w:val="22"/>
          <w:lang w:val="en-CA"/>
        </w:rPr>
      </w:pPr>
      <w:r>
        <w:rPr>
          <w:rFonts w:ascii="Arial" w:hAnsi="Arial" w:cs="Arial"/>
          <w:b/>
          <w:sz w:val="22"/>
          <w:lang w:val="en-CA"/>
        </w:rPr>
        <w:t xml:space="preserve">Cal/OSHA 5155, Table AC-1: </w:t>
      </w:r>
      <w:r>
        <w:rPr>
          <w:rFonts w:ascii="Arial" w:hAnsi="Arial" w:cs="Arial"/>
          <w:bCs/>
          <w:sz w:val="22"/>
          <w:lang w:val="en-CA"/>
        </w:rPr>
        <w:t>4 ppm TWA, 12 ppm STEL, 30 ppm Ceiling, skin notation.</w:t>
      </w:r>
    </w:p>
    <w:p w14:paraId="519D0C68" w14:textId="5C1798E8" w:rsidR="00DF09EA" w:rsidRDefault="00DF09EA">
      <w:pPr>
        <w:ind w:left="360" w:hanging="360"/>
        <w:rPr>
          <w:rFonts w:ascii="Arial" w:hAnsi="Arial" w:cs="Arial"/>
          <w:sz w:val="22"/>
          <w:szCs w:val="18"/>
          <w:lang w:val="en-CA"/>
        </w:rPr>
      </w:pPr>
      <w:smartTag w:uri="urn:schemas-microsoft-com:office:smarttags" w:element="country-region">
        <w:smartTag w:uri="urn:schemas-microsoft-com:office:smarttags" w:element="place">
          <w:r>
            <w:rPr>
              <w:rFonts w:ascii="Arial" w:hAnsi="Arial" w:cs="Arial"/>
              <w:b/>
              <w:bCs/>
              <w:sz w:val="22"/>
            </w:rPr>
            <w:t>U.S.</w:t>
          </w:r>
        </w:smartTag>
      </w:smartTag>
      <w:r>
        <w:rPr>
          <w:rFonts w:ascii="Arial" w:hAnsi="Arial" w:cs="Arial"/>
          <w:b/>
          <w:bCs/>
          <w:sz w:val="22"/>
        </w:rPr>
        <w:t xml:space="preserve"> EPA</w:t>
      </w:r>
      <w:r>
        <w:rPr>
          <w:rFonts w:ascii="Arial" w:hAnsi="Arial" w:cs="Arial"/>
          <w:sz w:val="22"/>
        </w:rPr>
        <w:t xml:space="preserve"> (1995):</w:t>
      </w:r>
      <w:r w:rsidR="00A91947">
        <w:rPr>
          <w:rFonts w:ascii="Arial" w:hAnsi="Arial" w:cs="Arial"/>
          <w:sz w:val="22"/>
        </w:rPr>
        <w:t xml:space="preserve"> </w:t>
      </w:r>
      <w:r>
        <w:rPr>
          <w:rFonts w:ascii="Arial" w:hAnsi="Arial" w:cs="Arial"/>
          <w:sz w:val="22"/>
        </w:rPr>
        <w:t xml:space="preserve">Inhalation </w:t>
      </w:r>
      <w:proofErr w:type="spellStart"/>
      <w:r>
        <w:rPr>
          <w:rFonts w:ascii="Arial" w:hAnsi="Arial" w:cs="Arial"/>
          <w:sz w:val="22"/>
        </w:rPr>
        <w:t>RfC</w:t>
      </w:r>
      <w:proofErr w:type="spellEnd"/>
      <w:r>
        <w:rPr>
          <w:rFonts w:ascii="Arial" w:hAnsi="Arial" w:cs="Arial"/>
          <w:sz w:val="22"/>
        </w:rPr>
        <w:t>, 0.7 mg/m3.</w:t>
      </w:r>
      <w:r w:rsidR="00A91947">
        <w:rPr>
          <w:rFonts w:ascii="Arial" w:hAnsi="Arial" w:cs="Arial"/>
          <w:sz w:val="22"/>
        </w:rPr>
        <w:t xml:space="preserve"> </w:t>
      </w:r>
      <w:r w:rsidRPr="007276B4">
        <w:rPr>
          <w:rFonts w:ascii="Arial" w:hAnsi="Arial" w:cs="Arial"/>
          <w:sz w:val="22"/>
        </w:rPr>
        <w:t xml:space="preserve">U.S. EPA (1995) derived an </w:t>
      </w:r>
      <w:proofErr w:type="spellStart"/>
      <w:r w:rsidRPr="007276B4">
        <w:rPr>
          <w:rFonts w:ascii="Arial" w:hAnsi="Arial" w:cs="Arial"/>
          <w:sz w:val="22"/>
        </w:rPr>
        <w:t>RfC</w:t>
      </w:r>
      <w:proofErr w:type="spellEnd"/>
      <w:r w:rsidRPr="007276B4">
        <w:rPr>
          <w:rFonts w:ascii="Arial" w:hAnsi="Arial" w:cs="Arial"/>
          <w:sz w:val="22"/>
        </w:rPr>
        <w:t xml:space="preserve"> of 0.7 mg/m3 for the critical effect of peripheral nervous system dysfunction.</w:t>
      </w:r>
      <w:r w:rsidR="00A91947">
        <w:rPr>
          <w:rFonts w:ascii="Arial" w:hAnsi="Arial" w:cs="Arial"/>
          <w:sz w:val="22"/>
        </w:rPr>
        <w:t xml:space="preserve"> </w:t>
      </w:r>
      <w:r w:rsidRPr="007276B4">
        <w:rPr>
          <w:rFonts w:ascii="Arial" w:hAnsi="Arial" w:cs="Arial"/>
          <w:sz w:val="22"/>
        </w:rPr>
        <w:t>A benchmark concentration for a 10% effect level of 17.7 ppm was derived from the Johnson et al. study in workers.</w:t>
      </w:r>
      <w:r w:rsidR="00A91947">
        <w:rPr>
          <w:rFonts w:ascii="Arial" w:hAnsi="Arial" w:cs="Arial"/>
          <w:sz w:val="22"/>
        </w:rPr>
        <w:t xml:space="preserve"> </w:t>
      </w:r>
      <w:r w:rsidRPr="007276B4">
        <w:rPr>
          <w:rFonts w:ascii="Arial" w:hAnsi="Arial" w:cs="Arial"/>
          <w:sz w:val="22"/>
        </w:rPr>
        <w:t>U.S. EPA adjusted for continuous exposure and applied an intraspecies uncertainty factor of 3, and an additional factor of 10 to “account for both database deficiencies, including concern for possible developmental effects at low levels, and to extrapolate to a lifetime exposure.”</w:t>
      </w:r>
      <w:r w:rsidR="00A91947">
        <w:rPr>
          <w:rFonts w:ascii="Arial" w:hAnsi="Arial" w:cs="Arial"/>
          <w:sz w:val="22"/>
        </w:rPr>
        <w:t xml:space="preserve"> </w:t>
      </w:r>
      <w:r w:rsidRPr="007276B4">
        <w:rPr>
          <w:rFonts w:ascii="Arial" w:hAnsi="Arial" w:cs="Arial"/>
          <w:sz w:val="22"/>
        </w:rPr>
        <w:t>U.S. EPA provides no indication as to how the factor of 10 would be apportioned between database deficiencies and adjustment for lifetime exposure.</w:t>
      </w:r>
      <w:r w:rsidR="00A91947">
        <w:rPr>
          <w:rFonts w:ascii="Arial" w:hAnsi="Arial" w:cs="Arial"/>
          <w:sz w:val="22"/>
        </w:rPr>
        <w:t xml:space="preserve"> </w:t>
      </w:r>
      <w:r w:rsidRPr="007276B4">
        <w:rPr>
          <w:rFonts w:ascii="Arial" w:hAnsi="Arial" w:cs="Arial"/>
          <w:sz w:val="22"/>
        </w:rPr>
        <w:t>Database deficiencies would still be relevant to workers, but adjustment for lifetime exposure would not; therefore it is recommended that this factor be reduced to 3.</w:t>
      </w:r>
      <w:r w:rsidR="00A91947">
        <w:rPr>
          <w:rFonts w:ascii="Arial" w:hAnsi="Arial" w:cs="Arial"/>
          <w:sz w:val="22"/>
        </w:rPr>
        <w:t xml:space="preserve"> </w:t>
      </w:r>
      <w:r w:rsidRPr="007276B4">
        <w:rPr>
          <w:rFonts w:ascii="Arial" w:hAnsi="Arial" w:cs="Arial"/>
          <w:sz w:val="22"/>
        </w:rPr>
        <w:t>Dividing the BMC</w:t>
      </w:r>
      <w:r w:rsidRPr="007276B4">
        <w:rPr>
          <w:rFonts w:ascii="Arial" w:hAnsi="Arial" w:cs="Arial"/>
          <w:sz w:val="22"/>
          <w:vertAlign w:val="subscript"/>
        </w:rPr>
        <w:t>10</w:t>
      </w:r>
      <w:r w:rsidRPr="007276B4">
        <w:rPr>
          <w:rFonts w:ascii="Arial" w:hAnsi="Arial" w:cs="Arial"/>
          <w:sz w:val="22"/>
        </w:rPr>
        <w:t xml:space="preserve"> for workers of 17.7 </w:t>
      </w:r>
      <w:r w:rsidRPr="007276B4">
        <w:rPr>
          <w:rFonts w:ascii="Arial" w:hAnsi="Arial" w:cs="Arial"/>
          <w:sz w:val="22"/>
        </w:rPr>
        <w:lastRenderedPageBreak/>
        <w:t>ppm by an intraspecies factor of 3 and by an additional factor of 3 for database deficiency gives 2 ppm for an occupational exposure limit.</w:t>
      </w:r>
    </w:p>
    <w:p w14:paraId="10F1DCC8" w14:textId="77777777" w:rsidR="00DF09EA" w:rsidRDefault="00DF09EA">
      <w:pPr>
        <w:ind w:left="360" w:hanging="360"/>
        <w:rPr>
          <w:rFonts w:ascii="Arial" w:hAnsi="Arial" w:cs="Arial"/>
          <w:bCs/>
          <w:sz w:val="22"/>
        </w:rPr>
      </w:pPr>
      <w:r>
        <w:rPr>
          <w:rFonts w:ascii="Arial" w:hAnsi="Arial" w:cs="Arial"/>
          <w:b/>
          <w:sz w:val="22"/>
          <w:lang w:val="en-CA"/>
        </w:rPr>
        <w:t xml:space="preserve">Fed/OSHA: </w:t>
      </w:r>
      <w:r>
        <w:rPr>
          <w:rFonts w:ascii="Arial" w:hAnsi="Arial" w:cs="Arial"/>
          <w:bCs/>
          <w:sz w:val="22"/>
          <w:lang w:val="en-CA"/>
        </w:rPr>
        <w:t>20 ppm PEL, 30 ppm Ceiling, maximum above ceiling 100 ppm for 30 minutes.</w:t>
      </w:r>
    </w:p>
    <w:p w14:paraId="29AFA6D2" w14:textId="77777777" w:rsidR="00DF09EA" w:rsidRDefault="00DF09EA">
      <w:pPr>
        <w:ind w:left="360" w:hanging="360"/>
        <w:rPr>
          <w:rFonts w:ascii="Arial" w:hAnsi="Arial" w:cs="Arial"/>
          <w:bCs/>
          <w:sz w:val="22"/>
          <w:szCs w:val="24"/>
        </w:rPr>
      </w:pPr>
      <w:r>
        <w:rPr>
          <w:rFonts w:ascii="Arial" w:hAnsi="Arial" w:cs="Arial"/>
          <w:b/>
          <w:sz w:val="22"/>
          <w:lang w:val="en-CA"/>
        </w:rPr>
        <w:t xml:space="preserve">National Institute for Occupational Safety and Health Recommended Exposure Limit: </w:t>
      </w:r>
      <w:r>
        <w:rPr>
          <w:rFonts w:ascii="Arial" w:hAnsi="Arial" w:cs="Arial"/>
          <w:bCs/>
          <w:sz w:val="22"/>
          <w:lang w:val="en-CA"/>
        </w:rPr>
        <w:t>(2005)</w:t>
      </w:r>
      <w:r>
        <w:rPr>
          <w:rFonts w:ascii="Arial" w:hAnsi="Arial" w:cs="Arial"/>
          <w:b/>
          <w:sz w:val="22"/>
          <w:lang w:val="en-CA"/>
        </w:rPr>
        <w:t xml:space="preserve"> </w:t>
      </w:r>
      <w:r>
        <w:rPr>
          <w:rFonts w:ascii="Arial" w:hAnsi="Arial" w:cs="Arial"/>
          <w:bCs/>
          <w:sz w:val="22"/>
          <w:lang w:val="en-CA"/>
        </w:rPr>
        <w:t>1 ppm TWA; 10 ppm STEL, maximum above ceiling 100 ppm for 30 minutes; skin notation.</w:t>
      </w:r>
    </w:p>
    <w:p w14:paraId="529F88AD" w14:textId="77777777" w:rsidR="00DF09EA" w:rsidRDefault="00DF09EA">
      <w:pPr>
        <w:ind w:left="360" w:hanging="360"/>
        <w:rPr>
          <w:rFonts w:ascii="Arial" w:hAnsi="Arial" w:cs="Arial"/>
          <w:sz w:val="22"/>
        </w:rPr>
      </w:pPr>
      <w:r>
        <w:rPr>
          <w:rFonts w:ascii="Arial" w:hAnsi="Arial" w:cs="Arial"/>
          <w:b/>
          <w:bCs/>
          <w:sz w:val="22"/>
          <w:szCs w:val="24"/>
        </w:rPr>
        <w:t xml:space="preserve">National Research Council Emergency Exposure Guidance Levels, EEGLs </w:t>
      </w:r>
      <w:r>
        <w:rPr>
          <w:rFonts w:ascii="Arial" w:hAnsi="Arial" w:cs="Arial"/>
          <w:sz w:val="22"/>
          <w:szCs w:val="24"/>
        </w:rPr>
        <w:t>(1984): 10 minute: 200 ppm; 30 minute: 100 ppm; 60 minute: 50 ppm.</w:t>
      </w:r>
    </w:p>
    <w:p w14:paraId="4D4B2C23" w14:textId="46663F3B" w:rsidR="00DF09EA" w:rsidRDefault="00DF09EA">
      <w:pPr>
        <w:ind w:left="360" w:hanging="360"/>
        <w:rPr>
          <w:rFonts w:ascii="Arial" w:hAnsi="Arial" w:cs="Arial"/>
          <w:sz w:val="22"/>
          <w:lang w:val="en-CA"/>
        </w:rPr>
      </w:pPr>
      <w:r>
        <w:rPr>
          <w:rFonts w:ascii="Arial" w:hAnsi="Arial" w:cs="Arial"/>
          <w:b/>
          <w:bCs/>
          <w:sz w:val="22"/>
          <w:szCs w:val="24"/>
        </w:rPr>
        <w:t xml:space="preserve">OEHHA Acute Reference Exposure Level: </w:t>
      </w:r>
      <w:r>
        <w:rPr>
          <w:rFonts w:ascii="Arial" w:hAnsi="Arial" w:cs="Arial"/>
          <w:sz w:val="22"/>
          <w:szCs w:val="24"/>
        </w:rPr>
        <w:t>(1999)</w:t>
      </w:r>
      <w:r>
        <w:rPr>
          <w:rFonts w:ascii="Arial" w:hAnsi="Arial" w:cs="Arial"/>
          <w:b/>
          <w:bCs/>
          <w:sz w:val="22"/>
          <w:szCs w:val="24"/>
        </w:rPr>
        <w:t xml:space="preserve"> </w:t>
      </w:r>
      <w:r>
        <w:rPr>
          <w:rFonts w:ascii="Arial" w:hAnsi="Arial" w:cs="Arial"/>
          <w:sz w:val="22"/>
          <w:szCs w:val="24"/>
        </w:rPr>
        <w:t xml:space="preserve">6 hour exposure (protective against severe adverse effects): </w:t>
      </w:r>
      <w:r>
        <w:rPr>
          <w:rFonts w:ascii="Arial" w:hAnsi="Arial" w:cs="Arial"/>
          <w:sz w:val="22"/>
        </w:rPr>
        <w:t>2.0 ppm (6.2 mg/m³).</w:t>
      </w:r>
      <w:r w:rsidR="00A91947">
        <w:rPr>
          <w:rFonts w:ascii="Arial" w:hAnsi="Arial" w:cs="Arial"/>
          <w:sz w:val="22"/>
        </w:rPr>
        <w:t xml:space="preserve"> </w:t>
      </w:r>
      <w:r>
        <w:rPr>
          <w:rFonts w:ascii="Arial" w:hAnsi="Arial" w:cs="Arial"/>
          <w:sz w:val="22"/>
        </w:rPr>
        <w:t>OEHHA (1999) derived an acute reference exposure level of 2 ppm for a 6 hour exposure to carbon disulfide to protect against reproductive/developmental toxicity and nervous system toxicity.</w:t>
      </w:r>
      <w:r w:rsidR="00A91947">
        <w:rPr>
          <w:rFonts w:ascii="Arial" w:hAnsi="Arial" w:cs="Arial"/>
          <w:sz w:val="22"/>
        </w:rPr>
        <w:t xml:space="preserve"> </w:t>
      </w:r>
      <w:r>
        <w:rPr>
          <w:rFonts w:ascii="Arial" w:hAnsi="Arial" w:cs="Arial"/>
          <w:sz w:val="22"/>
        </w:rPr>
        <w:t xml:space="preserve">Based on the study of </w:t>
      </w:r>
      <w:proofErr w:type="spellStart"/>
      <w:r>
        <w:rPr>
          <w:rFonts w:ascii="Arial" w:hAnsi="Arial" w:cs="Arial"/>
          <w:sz w:val="22"/>
        </w:rPr>
        <w:t>Saillenfait</w:t>
      </w:r>
      <w:proofErr w:type="spellEnd"/>
      <w:r>
        <w:rPr>
          <w:rFonts w:ascii="Arial" w:hAnsi="Arial" w:cs="Arial"/>
          <w:sz w:val="22"/>
        </w:rPr>
        <w:t xml:space="preserve"> et al. (1989) a NOAEL of 200 ppm for significant reductions in fetal weight was identified.</w:t>
      </w:r>
      <w:r w:rsidR="00A91947">
        <w:rPr>
          <w:rFonts w:ascii="Arial" w:hAnsi="Arial" w:cs="Arial"/>
          <w:sz w:val="22"/>
        </w:rPr>
        <w:t xml:space="preserve"> </w:t>
      </w:r>
      <w:r>
        <w:rPr>
          <w:rFonts w:ascii="Arial" w:hAnsi="Arial" w:cs="Arial"/>
          <w:sz w:val="22"/>
        </w:rPr>
        <w:t>A cumulative safety factor of 100 (10 for interspecies and 10 for intraspecies) was applied.</w:t>
      </w:r>
    </w:p>
    <w:p w14:paraId="57E92C01" w14:textId="55C67AFA" w:rsidR="00DF09EA" w:rsidRDefault="00DF09EA">
      <w:pPr>
        <w:ind w:left="360" w:hanging="360"/>
        <w:rPr>
          <w:rFonts w:ascii="Arial" w:hAnsi="Arial" w:cs="Arial"/>
          <w:sz w:val="22"/>
        </w:rPr>
      </w:pPr>
      <w:r>
        <w:rPr>
          <w:rFonts w:ascii="Arial" w:hAnsi="Arial" w:cs="Arial"/>
          <w:b/>
          <w:bCs/>
          <w:sz w:val="22"/>
        </w:rPr>
        <w:t xml:space="preserve">OEHHA Chronic Reference Exposure Level: </w:t>
      </w:r>
      <w:r>
        <w:rPr>
          <w:rFonts w:ascii="Arial" w:hAnsi="Arial" w:cs="Arial"/>
          <w:sz w:val="22"/>
        </w:rPr>
        <w:t>(2001) 800 ug/m3 (300 ppb).</w:t>
      </w:r>
      <w:r w:rsidR="00A91947">
        <w:rPr>
          <w:rFonts w:ascii="Arial" w:hAnsi="Arial" w:cs="Arial"/>
          <w:sz w:val="22"/>
        </w:rPr>
        <w:t xml:space="preserve"> </w:t>
      </w:r>
      <w:r>
        <w:rPr>
          <w:rFonts w:ascii="Arial" w:hAnsi="Arial" w:cs="Arial"/>
          <w:sz w:val="22"/>
        </w:rPr>
        <w:t xml:space="preserve">OEHHA derived a </w:t>
      </w:r>
      <w:proofErr w:type="spellStart"/>
      <w:r>
        <w:rPr>
          <w:rFonts w:ascii="Arial" w:hAnsi="Arial" w:cs="Arial"/>
          <w:sz w:val="22"/>
        </w:rPr>
        <w:t>cREL</w:t>
      </w:r>
      <w:proofErr w:type="spellEnd"/>
      <w:r>
        <w:rPr>
          <w:rFonts w:ascii="Arial" w:hAnsi="Arial" w:cs="Arial"/>
          <w:sz w:val="22"/>
        </w:rPr>
        <w:t> for the critical effect of reduction in motor nerve conduction velocities.</w:t>
      </w:r>
      <w:r w:rsidR="00A91947">
        <w:rPr>
          <w:rFonts w:ascii="Arial" w:hAnsi="Arial" w:cs="Arial"/>
          <w:sz w:val="22"/>
        </w:rPr>
        <w:t xml:space="preserve"> </w:t>
      </w:r>
      <w:r>
        <w:rPr>
          <w:rFonts w:ascii="Arial" w:hAnsi="Arial" w:cs="Arial"/>
          <w:sz w:val="22"/>
        </w:rPr>
        <w:t>A benchmark concentration for a 5% effect level of 6.86 ppm was derived based on the study of Johnson et al. (1983) in workers.</w:t>
      </w:r>
      <w:r w:rsidR="00A91947">
        <w:rPr>
          <w:rFonts w:ascii="Arial" w:hAnsi="Arial" w:cs="Arial"/>
          <w:sz w:val="22"/>
        </w:rPr>
        <w:t xml:space="preserve"> </w:t>
      </w:r>
      <w:r>
        <w:rPr>
          <w:rFonts w:ascii="Arial" w:hAnsi="Arial" w:cs="Arial"/>
          <w:sz w:val="22"/>
        </w:rPr>
        <w:t>OEHHA adjusted for continuous exposure and applied an intraspecies uncertainty factor of 10.</w:t>
      </w:r>
      <w:r w:rsidR="00A91947">
        <w:rPr>
          <w:rFonts w:ascii="Arial" w:hAnsi="Arial" w:cs="Arial"/>
          <w:sz w:val="22"/>
        </w:rPr>
        <w:t xml:space="preserve"> </w:t>
      </w:r>
      <w:r>
        <w:rPr>
          <w:rFonts w:ascii="Arial" w:hAnsi="Arial" w:cs="Arial"/>
          <w:sz w:val="22"/>
        </w:rPr>
        <w:t>Using the BMC</w:t>
      </w:r>
      <w:r>
        <w:rPr>
          <w:rFonts w:ascii="Arial" w:hAnsi="Arial" w:cs="Arial"/>
          <w:sz w:val="22"/>
          <w:vertAlign w:val="subscript"/>
        </w:rPr>
        <w:t>05</w:t>
      </w:r>
      <w:r>
        <w:rPr>
          <w:rFonts w:ascii="Arial" w:hAnsi="Arial" w:cs="Arial"/>
          <w:sz w:val="22"/>
        </w:rPr>
        <w:t xml:space="preserve"> of 6.86 ppm for workers and applying a reduced intraspecies factor of 3 gives a value of 2 ppm for an occupational exposure limit. </w:t>
      </w:r>
    </w:p>
    <w:p w14:paraId="274A14C8" w14:textId="59D92EB7" w:rsidR="00DF09EA" w:rsidRDefault="00DF09EA" w:rsidP="0045319F">
      <w:pPr>
        <w:spacing w:after="240"/>
        <w:ind w:left="360" w:hanging="360"/>
        <w:rPr>
          <w:rFonts w:ascii="Arial" w:hAnsi="Arial" w:cs="Arial"/>
          <w:b/>
          <w:sz w:val="22"/>
        </w:rPr>
      </w:pPr>
      <w:r>
        <w:rPr>
          <w:rFonts w:ascii="Arial" w:hAnsi="Arial" w:cs="Arial"/>
          <w:b/>
          <w:bCs/>
          <w:sz w:val="22"/>
          <w:szCs w:val="24"/>
        </w:rPr>
        <w:t>OSHA:</w:t>
      </w:r>
      <w:r>
        <w:rPr>
          <w:rFonts w:ascii="Arial" w:hAnsi="Arial" w:cs="Arial"/>
          <w:sz w:val="22"/>
          <w:lang w:val="en-CA"/>
        </w:rPr>
        <w:t xml:space="preserve"> (1989) proposed PEL, 4 ppm TWA and 12 ppm STEL, skin notation; based on cardiovascular disease, reproductive effects and neurological impairment.</w:t>
      </w:r>
      <w:r w:rsidR="00A91947">
        <w:rPr>
          <w:rFonts w:ascii="Arial" w:hAnsi="Arial" w:cs="Arial"/>
          <w:sz w:val="22"/>
          <w:lang w:val="en-CA"/>
        </w:rPr>
        <w:t xml:space="preserve"> </w:t>
      </w:r>
      <w:r>
        <w:rPr>
          <w:rFonts w:ascii="Arial" w:hAnsi="Arial" w:cs="Arial"/>
          <w:sz w:val="22"/>
          <w:lang w:val="en-CA"/>
        </w:rPr>
        <w:t>No one study was key but Johnson et al was cited.</w:t>
      </w:r>
    </w:p>
    <w:p w14:paraId="4721A1D7" w14:textId="0739E7A8" w:rsidR="00DF09EA" w:rsidRDefault="00DF09EA">
      <w:pPr>
        <w:pBdr>
          <w:top w:val="single" w:sz="4" w:space="1" w:color="auto"/>
          <w:left w:val="single" w:sz="4" w:space="0" w:color="auto"/>
          <w:bottom w:val="single" w:sz="4" w:space="2" w:color="auto"/>
          <w:right w:val="single" w:sz="4" w:space="0" w:color="auto"/>
        </w:pBdr>
        <w:ind w:left="90"/>
        <w:rPr>
          <w:rFonts w:ascii="Arial" w:hAnsi="Arial" w:cs="Arial"/>
          <w:sz w:val="22"/>
          <w:szCs w:val="18"/>
        </w:rPr>
      </w:pPr>
      <w:r w:rsidRPr="00972CB4">
        <w:rPr>
          <w:rFonts w:ascii="Arial" w:hAnsi="Arial" w:cs="Arial"/>
          <w:b/>
          <w:sz w:val="22"/>
          <w:szCs w:val="18"/>
        </w:rPr>
        <w:t>SUMMARY NOTE:</w:t>
      </w:r>
      <w:r w:rsidRPr="00972CB4">
        <w:rPr>
          <w:rFonts w:ascii="Arial" w:hAnsi="Arial" w:cs="Arial"/>
          <w:sz w:val="22"/>
          <w:szCs w:val="18"/>
        </w:rPr>
        <w:t xml:space="preserve"> Johnson, et al was the key reference for recommendations described above of OEHHA </w:t>
      </w:r>
      <w:proofErr w:type="spellStart"/>
      <w:r w:rsidRPr="00972CB4">
        <w:rPr>
          <w:rFonts w:ascii="Arial" w:hAnsi="Arial" w:cs="Arial"/>
          <w:sz w:val="22"/>
          <w:szCs w:val="18"/>
        </w:rPr>
        <w:t>cREL</w:t>
      </w:r>
      <w:proofErr w:type="spellEnd"/>
      <w:r w:rsidRPr="00972CB4">
        <w:rPr>
          <w:rFonts w:ascii="Arial" w:hAnsi="Arial" w:cs="Arial"/>
          <w:sz w:val="22"/>
          <w:szCs w:val="18"/>
        </w:rPr>
        <w:t xml:space="preserve"> (2 ppm), US EPA </w:t>
      </w:r>
      <w:proofErr w:type="spellStart"/>
      <w:r w:rsidRPr="00972CB4">
        <w:rPr>
          <w:rFonts w:ascii="Arial" w:hAnsi="Arial" w:cs="Arial"/>
          <w:sz w:val="22"/>
          <w:szCs w:val="18"/>
        </w:rPr>
        <w:t>RfC</w:t>
      </w:r>
      <w:proofErr w:type="spellEnd"/>
      <w:r w:rsidRPr="00972CB4">
        <w:rPr>
          <w:rFonts w:ascii="Arial" w:hAnsi="Arial" w:cs="Arial"/>
          <w:sz w:val="22"/>
          <w:szCs w:val="18"/>
        </w:rPr>
        <w:t xml:space="preserve"> (2 ppm), ATSDR chronic inhalation (0.8 ppm).</w:t>
      </w:r>
      <w:r w:rsidR="00A91947">
        <w:rPr>
          <w:rFonts w:ascii="Arial" w:hAnsi="Arial" w:cs="Arial"/>
          <w:sz w:val="22"/>
          <w:szCs w:val="18"/>
        </w:rPr>
        <w:t xml:space="preserve"> </w:t>
      </w:r>
      <w:r w:rsidRPr="00972CB4">
        <w:rPr>
          <w:rFonts w:ascii="Arial" w:hAnsi="Arial" w:cs="Arial"/>
          <w:sz w:val="22"/>
          <w:szCs w:val="18"/>
        </w:rPr>
        <w:t>Johnson et al was also cited in the documentation of the ACGIH (1 ppm) and OSHA 1989 PEL rulemaking (4 ppm).</w:t>
      </w:r>
      <w:r w:rsidR="00A91947">
        <w:rPr>
          <w:rFonts w:ascii="Arial" w:hAnsi="Arial" w:cs="Arial"/>
          <w:sz w:val="22"/>
          <w:szCs w:val="18"/>
        </w:rPr>
        <w:t xml:space="preserve"> </w:t>
      </w:r>
    </w:p>
    <w:p w14:paraId="76C8122E" w14:textId="77777777" w:rsidR="00DF09EA" w:rsidRPr="00972CB4" w:rsidRDefault="00DF09EA" w:rsidP="0045319F">
      <w:pPr>
        <w:spacing w:before="240"/>
        <w:ind w:left="360" w:right="58" w:hanging="302"/>
        <w:rPr>
          <w:rFonts w:ascii="Arial" w:hAnsi="Arial" w:cs="Arial"/>
          <w:b/>
          <w:bCs/>
          <w:sz w:val="22"/>
          <w:highlight w:val="yellow"/>
          <w:lang w:val="nl-NL"/>
        </w:rPr>
      </w:pPr>
      <w:r w:rsidRPr="00972CB4">
        <w:rPr>
          <w:rFonts w:ascii="Arial" w:hAnsi="Arial" w:cs="Arial"/>
          <w:b/>
          <w:bCs/>
          <w:sz w:val="22"/>
          <w:highlight w:val="yellow"/>
          <w:lang w:val="nl-NL"/>
        </w:rPr>
        <w:t>Godderis et al (2006):</w:t>
      </w:r>
    </w:p>
    <w:p w14:paraId="746E5A88" w14:textId="2A1C920D" w:rsidR="00DF09EA" w:rsidRPr="00972CB4" w:rsidRDefault="00DF09EA">
      <w:pPr>
        <w:tabs>
          <w:tab w:val="left" w:pos="720"/>
        </w:tabs>
        <w:ind w:left="360" w:right="60"/>
        <w:rPr>
          <w:rFonts w:ascii="Arial" w:hAnsi="Arial" w:cs="Arial"/>
          <w:sz w:val="22"/>
          <w:highlight w:val="yellow"/>
        </w:rPr>
      </w:pPr>
      <w:r w:rsidRPr="00972CB4">
        <w:rPr>
          <w:rFonts w:ascii="Arial" w:hAnsi="Arial" w:cs="Arial"/>
          <w:sz w:val="22"/>
          <w:highlight w:val="yellow"/>
        </w:rPr>
        <w:t xml:space="preserve">A more recent study on neurological effects that was not referenced by the above agencies is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w:t>
      </w:r>
      <w:r w:rsidRPr="00972CB4">
        <w:rPr>
          <w:rFonts w:ascii="Arial" w:hAnsi="Arial" w:cs="Arial"/>
          <w:i/>
          <w:sz w:val="22"/>
          <w:highlight w:val="yellow"/>
        </w:rPr>
        <w:t>et al.</w:t>
      </w:r>
      <w:r w:rsidRPr="00972CB4">
        <w:rPr>
          <w:rFonts w:ascii="Arial" w:hAnsi="Arial" w:cs="Arial"/>
          <w:sz w:val="22"/>
          <w:highlight w:val="yellow"/>
        </w:rPr>
        <w:t xml:space="preserve"> (2006).</w:t>
      </w:r>
      <w:r w:rsidR="00A91947">
        <w:rPr>
          <w:rFonts w:ascii="Arial" w:hAnsi="Arial" w:cs="Arial"/>
          <w:sz w:val="22"/>
          <w:highlight w:val="yellow"/>
        </w:rPr>
        <w:t xml:space="preserve"> </w:t>
      </w:r>
      <w:r w:rsidRPr="00972CB4">
        <w:rPr>
          <w:rFonts w:ascii="Arial" w:hAnsi="Arial" w:cs="Arial"/>
          <w:sz w:val="22"/>
          <w:highlight w:val="yellow"/>
        </w:rPr>
        <w:t>Viscose rayon workers in a plant operating since 1930 initially were divided into &lt;10 ppm (EG1, n = 60) and &gt;10 ppm (EG2, n = 25) exposure groups.</w:t>
      </w:r>
      <w:r w:rsidR="00A91947">
        <w:rPr>
          <w:rFonts w:ascii="Arial" w:hAnsi="Arial" w:cs="Arial"/>
          <w:sz w:val="22"/>
          <w:highlight w:val="yellow"/>
        </w:rPr>
        <w:t xml:space="preserve">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based these groups on a cumulative exposure index calculated for each worker by multiplying the number of years in a job with the exposure and adding up these products.</w:t>
      </w:r>
      <w:r w:rsidR="00A91947">
        <w:rPr>
          <w:rFonts w:ascii="Arial" w:hAnsi="Arial" w:cs="Arial"/>
          <w:sz w:val="22"/>
          <w:highlight w:val="yellow"/>
        </w:rPr>
        <w:t xml:space="preserve">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described the average yearly exposure to CS2 for the exposure groups as: EG1: 8.9 mg/M3 (+/- 1.1), and EG2: 59.2 mg/M3 (+/- 5.2).</w:t>
      </w:r>
      <w:r w:rsidR="00A91947">
        <w:rPr>
          <w:rFonts w:ascii="Arial" w:hAnsi="Arial" w:cs="Arial"/>
          <w:sz w:val="22"/>
          <w:highlight w:val="yellow"/>
        </w:rPr>
        <w:t xml:space="preserve"> </w:t>
      </w:r>
      <w:r w:rsidRPr="00972CB4">
        <w:rPr>
          <w:rFonts w:ascii="Arial" w:hAnsi="Arial" w:cs="Arial"/>
          <w:sz w:val="22"/>
          <w:highlight w:val="yellow"/>
        </w:rPr>
        <w:t>Also the cumulative exposure index was reported as: EG1: 59.5years*mg/M3 and 746 years*mg/M3.</w:t>
      </w:r>
      <w:r w:rsidR="00A91947">
        <w:rPr>
          <w:rFonts w:ascii="Arial" w:hAnsi="Arial" w:cs="Arial"/>
          <w:sz w:val="22"/>
          <w:highlight w:val="yellow"/>
        </w:rPr>
        <w:t xml:space="preserve"> </w:t>
      </w:r>
      <w:r w:rsidRPr="00972CB4">
        <w:rPr>
          <w:rFonts w:ascii="Arial" w:hAnsi="Arial" w:cs="Arial"/>
          <w:sz w:val="22"/>
          <w:highlight w:val="yellow"/>
        </w:rPr>
        <w:t>The exposure levels for the jobs were based upon recent and historic monitoring for homogeneous exposure groups (spinners, bleach, stable, and post-preparation).</w:t>
      </w:r>
      <w:r w:rsidR="00A91947">
        <w:rPr>
          <w:rFonts w:ascii="Arial" w:hAnsi="Arial" w:cs="Arial"/>
          <w:sz w:val="22"/>
          <w:highlight w:val="yellow"/>
        </w:rPr>
        <w:t xml:space="preserve"> </w:t>
      </w:r>
      <w:r w:rsidRPr="00972CB4">
        <w:rPr>
          <w:rFonts w:ascii="Arial" w:hAnsi="Arial" w:cs="Arial"/>
          <w:sz w:val="22"/>
          <w:highlight w:val="yellow"/>
        </w:rPr>
        <w:t xml:space="preserve">For historic exposure data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(2006) references </w:t>
      </w:r>
      <w:proofErr w:type="spellStart"/>
      <w:r w:rsidRPr="00972CB4">
        <w:rPr>
          <w:rFonts w:ascii="Arial" w:hAnsi="Arial" w:cs="Arial"/>
          <w:sz w:val="22"/>
          <w:highlight w:val="yellow"/>
        </w:rPr>
        <w:t>Vanhoorne</w:t>
      </w:r>
      <w:proofErr w:type="spellEnd"/>
      <w:r w:rsidRPr="00972CB4">
        <w:rPr>
          <w:rFonts w:ascii="Arial" w:hAnsi="Arial" w:cs="Arial"/>
          <w:sz w:val="22"/>
          <w:highlight w:val="yellow"/>
        </w:rPr>
        <w:t xml:space="preserve"> et al. (1995 and 1991) describes exposures “for most jobs the average exposure to CS2 exceeds the present Threshold Limit Value (TLV) of 31 mg/M3.”</w:t>
      </w:r>
      <w:r w:rsidR="00A91947">
        <w:rPr>
          <w:rFonts w:ascii="Arial" w:hAnsi="Arial" w:cs="Arial"/>
          <w:sz w:val="22"/>
          <w:highlight w:val="yellow"/>
        </w:rPr>
        <w:t xml:space="preserve"> </w:t>
      </w:r>
      <w:r w:rsidRPr="00972CB4">
        <w:rPr>
          <w:rFonts w:ascii="Arial" w:hAnsi="Arial" w:cs="Arial"/>
          <w:sz w:val="22"/>
          <w:highlight w:val="yellow"/>
        </w:rPr>
        <w:t>Much of the sampling data was limited to two hour or less sample periods in jobs which admittedly have “highly variable exposures.”</w:t>
      </w:r>
      <w:r w:rsidR="00A91947">
        <w:rPr>
          <w:rFonts w:ascii="Arial" w:hAnsi="Arial" w:cs="Arial"/>
          <w:sz w:val="22"/>
          <w:highlight w:val="yellow"/>
        </w:rPr>
        <w:t xml:space="preserve"> </w:t>
      </w:r>
      <w:r w:rsidRPr="00972CB4">
        <w:rPr>
          <w:rFonts w:ascii="Arial" w:hAnsi="Arial" w:cs="Arial"/>
          <w:sz w:val="22"/>
          <w:highlight w:val="yellow"/>
        </w:rPr>
        <w:t xml:space="preserve">Regarding recent data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refers to </w:t>
      </w:r>
      <w:proofErr w:type="spellStart"/>
      <w:r w:rsidRPr="00972CB4">
        <w:rPr>
          <w:rFonts w:ascii="Arial" w:hAnsi="Arial" w:cs="Arial"/>
          <w:sz w:val="22"/>
          <w:highlight w:val="yellow"/>
        </w:rPr>
        <w:t>Bulat</w:t>
      </w:r>
      <w:proofErr w:type="spellEnd"/>
      <w:r w:rsidRPr="00972CB4">
        <w:rPr>
          <w:rFonts w:ascii="Arial" w:hAnsi="Arial" w:cs="Arial"/>
          <w:sz w:val="22"/>
          <w:highlight w:val="yellow"/>
        </w:rPr>
        <w:t xml:space="preserve"> (2002) and states “from 1983 to 1992 CS2 concentrations ranged from 4 to 113 mg/M3.</w:t>
      </w:r>
      <w:r w:rsidR="00A91947">
        <w:rPr>
          <w:rFonts w:ascii="Arial" w:hAnsi="Arial" w:cs="Arial"/>
          <w:sz w:val="22"/>
          <w:highlight w:val="yellow"/>
        </w:rPr>
        <w:t xml:space="preserve"> </w:t>
      </w:r>
      <w:r w:rsidRPr="00972CB4">
        <w:rPr>
          <w:rFonts w:ascii="Arial" w:hAnsi="Arial" w:cs="Arial"/>
          <w:sz w:val="22"/>
          <w:highlight w:val="yellow"/>
        </w:rPr>
        <w:t>Since 1992, exposure dropped to levels remaining below TLV-values (max 32.4 mg/M3)”.</w:t>
      </w:r>
      <w:r w:rsidR="00A91947">
        <w:rPr>
          <w:rFonts w:ascii="Arial" w:hAnsi="Arial" w:cs="Arial"/>
          <w:sz w:val="22"/>
          <w:highlight w:val="yellow"/>
        </w:rPr>
        <w:t xml:space="preserve"> </w:t>
      </w:r>
      <w:r w:rsidRPr="00972CB4">
        <w:rPr>
          <w:rFonts w:ascii="Arial" w:hAnsi="Arial" w:cs="Arial"/>
          <w:sz w:val="22"/>
          <w:highlight w:val="yellow"/>
        </w:rPr>
        <w:t>The referenced papers do not clearly state what the exposure levels were at what year.</w:t>
      </w:r>
      <w:r w:rsidR="00A91947">
        <w:rPr>
          <w:rFonts w:ascii="Arial" w:hAnsi="Arial" w:cs="Arial"/>
          <w:sz w:val="22"/>
          <w:highlight w:val="yellow"/>
        </w:rPr>
        <w:t xml:space="preserve">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references </w:t>
      </w:r>
      <w:proofErr w:type="spellStart"/>
      <w:r w:rsidRPr="00972CB4">
        <w:rPr>
          <w:rFonts w:ascii="Arial" w:hAnsi="Arial" w:cs="Arial"/>
          <w:sz w:val="22"/>
          <w:highlight w:val="yellow"/>
        </w:rPr>
        <w:t>Bulat</w:t>
      </w:r>
      <w:proofErr w:type="spellEnd"/>
      <w:r w:rsidRPr="00972CB4">
        <w:rPr>
          <w:rFonts w:ascii="Arial" w:hAnsi="Arial" w:cs="Arial"/>
          <w:sz w:val="22"/>
          <w:highlight w:val="yellow"/>
        </w:rPr>
        <w:t xml:space="preserve"> (2002) who states “it should be emphasized that the methods of analysis used in previous study differ from the methods used in the follow-up study.</w:t>
      </w:r>
      <w:r w:rsidR="00A91947">
        <w:rPr>
          <w:rFonts w:ascii="Arial" w:hAnsi="Arial" w:cs="Arial"/>
          <w:sz w:val="22"/>
          <w:highlight w:val="yellow"/>
        </w:rPr>
        <w:t xml:space="preserve"> </w:t>
      </w:r>
      <w:r w:rsidRPr="00972CB4">
        <w:rPr>
          <w:rFonts w:ascii="Arial" w:hAnsi="Arial" w:cs="Arial"/>
          <w:sz w:val="22"/>
          <w:highlight w:val="yellow"/>
        </w:rPr>
        <w:t>No drier tubers were used in series with the charcoal tubes in the first study.</w:t>
      </w:r>
      <w:r w:rsidR="00A91947">
        <w:rPr>
          <w:rFonts w:ascii="Arial" w:hAnsi="Arial" w:cs="Arial"/>
          <w:sz w:val="22"/>
          <w:highlight w:val="yellow"/>
        </w:rPr>
        <w:t xml:space="preserve"> </w:t>
      </w:r>
      <w:r w:rsidRPr="00972CB4">
        <w:rPr>
          <w:rFonts w:ascii="Arial" w:hAnsi="Arial" w:cs="Arial"/>
          <w:sz w:val="22"/>
          <w:highlight w:val="yellow"/>
        </w:rPr>
        <w:t xml:space="preserve">Having in mind that high humidity {admittedly present in the highest exposure </w:t>
      </w:r>
      <w:proofErr w:type="spellStart"/>
      <w:r w:rsidRPr="00972CB4">
        <w:rPr>
          <w:rFonts w:ascii="Arial" w:hAnsi="Arial" w:cs="Arial"/>
          <w:sz w:val="22"/>
          <w:highlight w:val="yellow"/>
        </w:rPr>
        <w:t>workareas</w:t>
      </w:r>
      <w:proofErr w:type="spellEnd"/>
      <w:r w:rsidRPr="00972CB4">
        <w:rPr>
          <w:rFonts w:ascii="Arial" w:hAnsi="Arial" w:cs="Arial"/>
          <w:sz w:val="22"/>
          <w:highlight w:val="yellow"/>
        </w:rPr>
        <w:t xml:space="preserve">} can cause decreased adsorption of CS2 on active charcoal, we suppose that personal CS2 exposure in the </w:t>
      </w:r>
      <w:r w:rsidRPr="00972CB4">
        <w:rPr>
          <w:rFonts w:ascii="Arial" w:hAnsi="Arial" w:cs="Arial"/>
          <w:sz w:val="22"/>
          <w:highlight w:val="yellow"/>
        </w:rPr>
        <w:lastRenderedPageBreak/>
        <w:t>previous study has been underestimated…”.</w:t>
      </w:r>
      <w:r w:rsidR="00A91947">
        <w:rPr>
          <w:rFonts w:ascii="Arial" w:hAnsi="Arial" w:cs="Arial"/>
          <w:sz w:val="22"/>
          <w:highlight w:val="yellow"/>
        </w:rPr>
        <w:t xml:space="preserve">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(2006) does not discuss this or what exposure levels were applied to the years to develop the exposure groups.</w:t>
      </w:r>
      <w:r w:rsidR="00A91947">
        <w:rPr>
          <w:rFonts w:ascii="Arial" w:hAnsi="Arial" w:cs="Arial"/>
          <w:sz w:val="22"/>
          <w:highlight w:val="yellow"/>
        </w:rPr>
        <w:t xml:space="preserve"> </w:t>
      </w:r>
      <w:r w:rsidRPr="00972CB4">
        <w:rPr>
          <w:rFonts w:ascii="Arial" w:hAnsi="Arial" w:cs="Arial"/>
          <w:sz w:val="22"/>
          <w:highlight w:val="yellow"/>
        </w:rPr>
        <w:t xml:space="preserve">In this study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(2006) assessed neurobehavioral and clinical effects using various approaches including standardized and validated questionnaires, clinical neurological examination, computer-assisted neurobehavioral tests, and neurophysiological examinations (nerve conduction and electromyography [EMG]).</w:t>
      </w:r>
      <w:r w:rsidR="00A91947">
        <w:rPr>
          <w:rFonts w:ascii="Arial" w:hAnsi="Arial" w:cs="Arial"/>
          <w:sz w:val="22"/>
          <w:highlight w:val="yellow"/>
        </w:rPr>
        <w:t xml:space="preserve"> </w:t>
      </w:r>
      <w:r w:rsidRPr="00972CB4">
        <w:rPr>
          <w:rFonts w:ascii="Arial" w:hAnsi="Arial" w:cs="Arial"/>
          <w:sz w:val="22"/>
          <w:highlight w:val="yellow"/>
        </w:rPr>
        <w:t>There was no mention of blinding the evaluators in any of these evaluations or tests.</w:t>
      </w:r>
      <w:r w:rsidR="00A91947">
        <w:rPr>
          <w:rFonts w:ascii="Arial" w:hAnsi="Arial" w:cs="Arial"/>
          <w:sz w:val="22"/>
          <w:highlight w:val="yellow"/>
        </w:rPr>
        <w:t xml:space="preserve"> </w:t>
      </w:r>
      <w:r w:rsidRPr="00972CB4">
        <w:rPr>
          <w:rFonts w:ascii="Arial" w:hAnsi="Arial" w:cs="Arial"/>
          <w:sz w:val="22"/>
          <w:highlight w:val="yellow"/>
        </w:rPr>
        <w:t>Of ten nerve conduction velocity tests, three where significant (see table of these below, geometric means of measurements):</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620"/>
        <w:gridCol w:w="1620"/>
        <w:gridCol w:w="720"/>
      </w:tblGrid>
      <w:tr w:rsidR="00DF09EA" w:rsidRPr="00972CB4" w14:paraId="41D3C124" w14:textId="77777777" w:rsidTr="00043298">
        <w:trPr>
          <w:tblHeader/>
        </w:trPr>
        <w:tc>
          <w:tcPr>
            <w:tcW w:w="2790" w:type="dxa"/>
          </w:tcPr>
          <w:p w14:paraId="4893FBEE" w14:textId="77777777" w:rsidR="00DF09EA" w:rsidRPr="00972CB4" w:rsidRDefault="00DF09EA">
            <w:pPr>
              <w:tabs>
                <w:tab w:val="left" w:pos="720"/>
              </w:tabs>
              <w:ind w:left="-18" w:right="60" w:firstLine="18"/>
              <w:rPr>
                <w:rFonts w:ascii="Arial" w:hAnsi="Arial" w:cs="Arial"/>
                <w:sz w:val="20"/>
                <w:highlight w:val="yellow"/>
              </w:rPr>
            </w:pPr>
            <w:r w:rsidRPr="00972CB4">
              <w:rPr>
                <w:rFonts w:ascii="Arial" w:hAnsi="Arial" w:cs="Arial"/>
                <w:sz w:val="20"/>
                <w:highlight w:val="yellow"/>
              </w:rPr>
              <w:t>Nerve Conduction Velocity</w:t>
            </w:r>
          </w:p>
        </w:tc>
        <w:tc>
          <w:tcPr>
            <w:tcW w:w="1620" w:type="dxa"/>
          </w:tcPr>
          <w:p w14:paraId="7034C248"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Control Group</w:t>
            </w:r>
          </w:p>
        </w:tc>
        <w:tc>
          <w:tcPr>
            <w:tcW w:w="1620" w:type="dxa"/>
          </w:tcPr>
          <w:p w14:paraId="330E48C8"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&lt;10 ppm</w:t>
            </w:r>
          </w:p>
        </w:tc>
        <w:tc>
          <w:tcPr>
            <w:tcW w:w="1620" w:type="dxa"/>
          </w:tcPr>
          <w:p w14:paraId="460AE79D"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&gt;10 ppm</w:t>
            </w:r>
          </w:p>
        </w:tc>
        <w:tc>
          <w:tcPr>
            <w:tcW w:w="720" w:type="dxa"/>
          </w:tcPr>
          <w:p w14:paraId="2B644C66"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Unit</w:t>
            </w:r>
          </w:p>
        </w:tc>
      </w:tr>
      <w:tr w:rsidR="00DF09EA" w:rsidRPr="00972CB4" w14:paraId="3D4EA873" w14:textId="77777777" w:rsidTr="00043298">
        <w:tc>
          <w:tcPr>
            <w:tcW w:w="2790" w:type="dxa"/>
          </w:tcPr>
          <w:p w14:paraId="73A564FB" w14:textId="77777777" w:rsidR="00DF09EA" w:rsidRPr="00972CB4" w:rsidRDefault="00DF09EA">
            <w:pPr>
              <w:tabs>
                <w:tab w:val="left" w:pos="720"/>
              </w:tabs>
              <w:ind w:right="60"/>
              <w:rPr>
                <w:rFonts w:ascii="Arial" w:hAnsi="Arial" w:cs="Arial"/>
                <w:sz w:val="20"/>
                <w:highlight w:val="yellow"/>
              </w:rPr>
            </w:pPr>
            <w:r w:rsidRPr="00972CB4">
              <w:rPr>
                <w:rFonts w:ascii="Arial" w:hAnsi="Arial" w:cs="Arial"/>
                <w:sz w:val="20"/>
                <w:highlight w:val="yellow"/>
              </w:rPr>
              <w:t>Log (sural SNAP amplitude)</w:t>
            </w:r>
          </w:p>
        </w:tc>
        <w:tc>
          <w:tcPr>
            <w:tcW w:w="1620" w:type="dxa"/>
          </w:tcPr>
          <w:p w14:paraId="2B1FE865"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10.50</w:t>
            </w:r>
          </w:p>
        </w:tc>
        <w:tc>
          <w:tcPr>
            <w:tcW w:w="1620" w:type="dxa"/>
          </w:tcPr>
          <w:p w14:paraId="0223443C"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5.58</w:t>
            </w:r>
          </w:p>
        </w:tc>
        <w:tc>
          <w:tcPr>
            <w:tcW w:w="1620" w:type="dxa"/>
          </w:tcPr>
          <w:p w14:paraId="1DFD6799"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2.86</w:t>
            </w:r>
          </w:p>
        </w:tc>
        <w:tc>
          <w:tcPr>
            <w:tcW w:w="720" w:type="dxa"/>
          </w:tcPr>
          <w:p w14:paraId="1D7C1C19" w14:textId="77777777" w:rsidR="00DF09EA" w:rsidRPr="00972CB4" w:rsidRDefault="00DF09EA">
            <w:pPr>
              <w:tabs>
                <w:tab w:val="left" w:pos="720"/>
              </w:tabs>
              <w:ind w:right="60"/>
              <w:jc w:val="center"/>
              <w:rPr>
                <w:rFonts w:ascii="Arial" w:hAnsi="Arial" w:cs="Arial"/>
                <w:sz w:val="20"/>
                <w:highlight w:val="yellow"/>
              </w:rPr>
            </w:pPr>
            <w:proofErr w:type="spellStart"/>
            <w:r w:rsidRPr="00972CB4">
              <w:rPr>
                <w:rFonts w:ascii="Arial" w:hAnsi="Arial" w:cs="Arial"/>
                <w:sz w:val="20"/>
                <w:highlight w:val="yellow"/>
              </w:rPr>
              <w:t>uV</w:t>
            </w:r>
            <w:proofErr w:type="spellEnd"/>
          </w:p>
        </w:tc>
      </w:tr>
      <w:tr w:rsidR="00DF09EA" w:rsidRPr="00972CB4" w14:paraId="5452C899" w14:textId="77777777" w:rsidTr="00043298">
        <w:tc>
          <w:tcPr>
            <w:tcW w:w="2790" w:type="dxa"/>
          </w:tcPr>
          <w:p w14:paraId="0DA1148E" w14:textId="77777777" w:rsidR="00DF09EA" w:rsidRPr="00972CB4" w:rsidRDefault="00DF09EA">
            <w:pPr>
              <w:tabs>
                <w:tab w:val="left" w:pos="720"/>
              </w:tabs>
              <w:ind w:right="60"/>
              <w:rPr>
                <w:rFonts w:ascii="Arial" w:hAnsi="Arial" w:cs="Arial"/>
                <w:sz w:val="20"/>
                <w:highlight w:val="yellow"/>
              </w:rPr>
            </w:pPr>
            <w:r w:rsidRPr="00972CB4">
              <w:rPr>
                <w:rFonts w:ascii="Arial" w:hAnsi="Arial" w:cs="Arial"/>
                <w:sz w:val="20"/>
                <w:highlight w:val="yellow"/>
              </w:rPr>
              <w:t>Log (sural SCV)</w:t>
            </w:r>
          </w:p>
        </w:tc>
        <w:tc>
          <w:tcPr>
            <w:tcW w:w="1620" w:type="dxa"/>
          </w:tcPr>
          <w:p w14:paraId="779E37B7"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55.58</w:t>
            </w:r>
          </w:p>
        </w:tc>
        <w:tc>
          <w:tcPr>
            <w:tcW w:w="1620" w:type="dxa"/>
          </w:tcPr>
          <w:p w14:paraId="0BCC6729"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41.39</w:t>
            </w:r>
          </w:p>
        </w:tc>
        <w:tc>
          <w:tcPr>
            <w:tcW w:w="1620" w:type="dxa"/>
          </w:tcPr>
          <w:p w14:paraId="3B9E5727"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27.6</w:t>
            </w:r>
          </w:p>
        </w:tc>
        <w:tc>
          <w:tcPr>
            <w:tcW w:w="720" w:type="dxa"/>
          </w:tcPr>
          <w:p w14:paraId="4482430B"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m/s</w:t>
            </w:r>
          </w:p>
        </w:tc>
      </w:tr>
      <w:tr w:rsidR="00DF09EA" w:rsidRPr="00972CB4" w14:paraId="023F45CD" w14:textId="77777777" w:rsidTr="00043298">
        <w:tc>
          <w:tcPr>
            <w:tcW w:w="2790" w:type="dxa"/>
          </w:tcPr>
          <w:p w14:paraId="06E679FD" w14:textId="77777777" w:rsidR="00DF09EA" w:rsidRPr="00972CB4" w:rsidRDefault="00DF09EA">
            <w:pPr>
              <w:tabs>
                <w:tab w:val="left" w:pos="720"/>
              </w:tabs>
              <w:ind w:right="60"/>
              <w:rPr>
                <w:rFonts w:ascii="Arial" w:hAnsi="Arial" w:cs="Arial"/>
                <w:sz w:val="20"/>
                <w:highlight w:val="yellow"/>
              </w:rPr>
            </w:pPr>
            <w:r w:rsidRPr="00972CB4">
              <w:rPr>
                <w:rFonts w:ascii="Arial" w:hAnsi="Arial" w:cs="Arial"/>
                <w:sz w:val="20"/>
                <w:highlight w:val="yellow"/>
              </w:rPr>
              <w:t>Log (sural SNAP duration)</w:t>
            </w:r>
          </w:p>
        </w:tc>
        <w:tc>
          <w:tcPr>
            <w:tcW w:w="1620" w:type="dxa"/>
          </w:tcPr>
          <w:p w14:paraId="52E2A1AC"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1.93</w:t>
            </w:r>
          </w:p>
        </w:tc>
        <w:tc>
          <w:tcPr>
            <w:tcW w:w="1620" w:type="dxa"/>
          </w:tcPr>
          <w:p w14:paraId="5B611741"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3.43</w:t>
            </w:r>
          </w:p>
        </w:tc>
        <w:tc>
          <w:tcPr>
            <w:tcW w:w="1620" w:type="dxa"/>
          </w:tcPr>
          <w:p w14:paraId="36C5F54D" w14:textId="77777777" w:rsidR="00DF09EA" w:rsidRPr="00972CB4" w:rsidRDefault="00DF09EA">
            <w:pPr>
              <w:tabs>
                <w:tab w:val="left" w:pos="720"/>
              </w:tabs>
              <w:ind w:right="60"/>
              <w:jc w:val="center"/>
              <w:rPr>
                <w:rFonts w:ascii="Arial" w:hAnsi="Arial" w:cs="Arial"/>
                <w:sz w:val="20"/>
                <w:highlight w:val="yellow"/>
              </w:rPr>
            </w:pPr>
            <w:r w:rsidRPr="00972CB4">
              <w:rPr>
                <w:rFonts w:ascii="Arial" w:hAnsi="Arial" w:cs="Arial"/>
                <w:sz w:val="20"/>
                <w:highlight w:val="yellow"/>
              </w:rPr>
              <w:t>5.29</w:t>
            </w:r>
          </w:p>
        </w:tc>
        <w:tc>
          <w:tcPr>
            <w:tcW w:w="720" w:type="dxa"/>
          </w:tcPr>
          <w:p w14:paraId="636058E5" w14:textId="77777777" w:rsidR="00DF09EA" w:rsidRPr="00972CB4" w:rsidRDefault="00DF09EA">
            <w:pPr>
              <w:tabs>
                <w:tab w:val="left" w:pos="720"/>
              </w:tabs>
              <w:ind w:right="60"/>
              <w:jc w:val="center"/>
              <w:rPr>
                <w:rFonts w:ascii="Arial" w:hAnsi="Arial" w:cs="Arial"/>
                <w:sz w:val="20"/>
                <w:highlight w:val="yellow"/>
              </w:rPr>
            </w:pPr>
            <w:proofErr w:type="spellStart"/>
            <w:r w:rsidRPr="00972CB4">
              <w:rPr>
                <w:rFonts w:ascii="Arial" w:hAnsi="Arial" w:cs="Arial"/>
                <w:sz w:val="20"/>
                <w:highlight w:val="yellow"/>
              </w:rPr>
              <w:t>ms</w:t>
            </w:r>
            <w:proofErr w:type="spellEnd"/>
          </w:p>
        </w:tc>
      </w:tr>
    </w:tbl>
    <w:p w14:paraId="60DBE36C" w14:textId="62A4B1D1" w:rsidR="00DF09EA" w:rsidRDefault="00DF09EA" w:rsidP="00043298">
      <w:pPr>
        <w:tabs>
          <w:tab w:val="left" w:pos="720"/>
        </w:tabs>
        <w:spacing w:before="240" w:after="240"/>
        <w:ind w:left="360" w:right="58"/>
        <w:rPr>
          <w:rFonts w:ascii="Arial" w:hAnsi="Arial" w:cs="Arial"/>
          <w:sz w:val="22"/>
          <w:highlight w:val="cyan"/>
        </w:rPr>
      </w:pP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further divided the two exposure groups into three exposure groups: </w:t>
      </w:r>
      <w:r w:rsidRPr="00972CB4">
        <w:rPr>
          <w:rFonts w:ascii="Arial" w:hAnsi="Arial" w:cs="Arial" w:hint="eastAsia"/>
          <w:sz w:val="22"/>
          <w:highlight w:val="yellow"/>
        </w:rPr>
        <w:t>≤</w:t>
      </w:r>
      <w:r w:rsidRPr="00972CB4">
        <w:rPr>
          <w:rFonts w:ascii="Arial" w:hAnsi="Arial" w:cs="Arial"/>
          <w:sz w:val="22"/>
          <w:highlight w:val="yellow"/>
        </w:rPr>
        <w:t>3.3 (n = 34), 3.3</w:t>
      </w:r>
      <w:r w:rsidRPr="00972CB4">
        <w:rPr>
          <w:rFonts w:ascii="Arial" w:hAnsi="Arial" w:cs="Arial" w:hint="eastAsia"/>
          <w:sz w:val="22"/>
          <w:highlight w:val="yellow"/>
        </w:rPr>
        <w:t xml:space="preserve"> to ≤</w:t>
      </w:r>
      <w:r w:rsidRPr="00972CB4">
        <w:rPr>
          <w:rFonts w:ascii="Arial" w:hAnsi="Arial" w:cs="Arial"/>
          <w:sz w:val="22"/>
          <w:highlight w:val="yellow"/>
        </w:rPr>
        <w:t>10 (n = 25) and &gt;10 ppm (n = 26).</w:t>
      </w:r>
      <w:r w:rsidR="00A91947">
        <w:rPr>
          <w:rFonts w:ascii="Arial" w:hAnsi="Arial" w:cs="Arial"/>
          <w:sz w:val="22"/>
          <w:highlight w:val="yellow"/>
        </w:rPr>
        <w:t xml:space="preserve"> </w:t>
      </w:r>
      <w:r w:rsidRPr="00972CB4">
        <w:rPr>
          <w:rFonts w:ascii="Arial" w:hAnsi="Arial" w:cs="Arial"/>
          <w:sz w:val="22"/>
          <w:highlight w:val="yellow"/>
        </w:rPr>
        <w:t xml:space="preserve">Regarding the statistically significant nerve conduction findings </w:t>
      </w:r>
      <w:proofErr w:type="spellStart"/>
      <w:r w:rsidRPr="00972CB4">
        <w:rPr>
          <w:rFonts w:ascii="Arial" w:hAnsi="Arial" w:cs="Arial"/>
          <w:sz w:val="22"/>
          <w:highlight w:val="yellow"/>
        </w:rPr>
        <w:t>Godderis</w:t>
      </w:r>
      <w:proofErr w:type="spellEnd"/>
      <w:r w:rsidRPr="00972CB4">
        <w:rPr>
          <w:rFonts w:ascii="Arial" w:hAnsi="Arial" w:cs="Arial"/>
          <w:sz w:val="22"/>
          <w:highlight w:val="yellow"/>
        </w:rPr>
        <w:t xml:space="preserve"> states “Of the nerve conduction results, sural nerve SNAP amplitude and duration and sural nerve SCV were (borderline) significantly worse in all three subgroups…”.</w:t>
      </w:r>
      <w:r w:rsidR="00A91947">
        <w:rPr>
          <w:rFonts w:ascii="Arial" w:hAnsi="Arial" w:cs="Arial"/>
          <w:bCs/>
          <w:sz w:val="22"/>
          <w:highlight w:val="yellow"/>
        </w:rPr>
        <w:t xml:space="preserve"> </w:t>
      </w:r>
      <w:r w:rsidRPr="00972CB4">
        <w:rPr>
          <w:rFonts w:ascii="Arial" w:hAnsi="Arial" w:cs="Arial"/>
          <w:sz w:val="22"/>
          <w:highlight w:val="yellow"/>
        </w:rPr>
        <w:t>Because of the uncertainty in the exposure levels and borderline statistical significance, a conservative LOAEL would be 3.3 ppm.</w:t>
      </w:r>
      <w:r w:rsidR="00A91947">
        <w:rPr>
          <w:rFonts w:ascii="Arial" w:hAnsi="Arial" w:cs="Arial"/>
          <w:sz w:val="22"/>
          <w:highlight w:val="yellow"/>
        </w:rPr>
        <w:t xml:space="preserve"> </w:t>
      </w:r>
      <w:r w:rsidRPr="00972CB4">
        <w:rPr>
          <w:rFonts w:ascii="Arial" w:hAnsi="Arial" w:cs="Arial"/>
          <w:sz w:val="22"/>
          <w:highlight w:val="yellow"/>
        </w:rPr>
        <w:t>Applying an uncertainty factor of 3 (LOAEL to NOAEL), then a 1.1 ppm PEL is obtained.</w:t>
      </w:r>
      <w:r w:rsidR="00A91947">
        <w:rPr>
          <w:rFonts w:ascii="Arial" w:hAnsi="Arial" w:cs="Arial"/>
          <w:sz w:val="22"/>
          <w:highlight w:val="yellow"/>
        </w:rPr>
        <w:t xml:space="preserve"> </w:t>
      </w:r>
    </w:p>
    <w:p w14:paraId="08F0F3BE" w14:textId="77777777" w:rsidR="00DF09EA" w:rsidRDefault="00DF09EA" w:rsidP="00043298">
      <w:pPr>
        <w:pStyle w:val="Heading2"/>
        <w:keepNext/>
        <w:spacing w:before="0"/>
        <w:rPr>
          <w:sz w:val="24"/>
        </w:rPr>
      </w:pPr>
      <w:r>
        <w:rPr>
          <w:sz w:val="24"/>
        </w:rPr>
        <w:t>DRAFT HEAC RECOMMENDATIONS</w:t>
      </w:r>
    </w:p>
    <w:p w14:paraId="1EC38496" w14:textId="304EC335" w:rsidR="00DF09EA" w:rsidRDefault="00DF09EA">
      <w:pPr>
        <w:pStyle w:val="BodyText"/>
        <w:ind w:left="360" w:hanging="360"/>
        <w:rPr>
          <w:szCs w:val="20"/>
        </w:rPr>
      </w:pPr>
      <w:r>
        <w:rPr>
          <w:b/>
          <w:bCs/>
          <w:lang w:val="en-CA"/>
        </w:rPr>
        <w:t>Permissible Exposure Limit: 1 ppm.</w:t>
      </w:r>
      <w:r w:rsidR="00A91947">
        <w:rPr>
          <w:color w:val="339966"/>
          <w:lang w:val="en-CA"/>
        </w:rPr>
        <w:t xml:space="preserve"> </w:t>
      </w:r>
      <w:r>
        <w:t>This recommended PEL is set to protect workers from decrements in peripheral motor nerve conduction velocities due to repeated and prolonged exposure to carbon disulfide.</w:t>
      </w:r>
      <w:r w:rsidR="00A91947">
        <w:t xml:space="preserve"> </w:t>
      </w:r>
      <w:r w:rsidRPr="00972CB4">
        <w:rPr>
          <w:szCs w:val="20"/>
        </w:rPr>
        <w:t>Studies in exposed workers and animals have identified the nervous system as a primary target for carbon disulfide.</w:t>
      </w:r>
      <w:r w:rsidR="00A91947">
        <w:rPr>
          <w:szCs w:val="20"/>
        </w:rPr>
        <w:t xml:space="preserve"> </w:t>
      </w:r>
      <w:r w:rsidRPr="00972CB4">
        <w:rPr>
          <w:szCs w:val="20"/>
        </w:rPr>
        <w:t>Other health effects identified from occupational and/or toxicological studies include reproductive and developmental toxicity and cardiovascular disease.</w:t>
      </w:r>
      <w:r w:rsidR="00A91947">
        <w:rPr>
          <w:szCs w:val="20"/>
        </w:rPr>
        <w:t xml:space="preserve"> </w:t>
      </w:r>
      <w:r w:rsidRPr="00972CB4">
        <w:rPr>
          <w:szCs w:val="20"/>
        </w:rPr>
        <w:t xml:space="preserve">Based on the existing risk assessments of </w:t>
      </w:r>
      <w:smartTag w:uri="urn:schemas-microsoft-com:office:smarttags" w:element="place">
        <w:smartTag w:uri="urn:schemas-microsoft-com:office:smarttags" w:element="City">
          <w:r w:rsidRPr="00972CB4">
            <w:rPr>
              <w:szCs w:val="20"/>
            </w:rPr>
            <w:t>ATSDR</w:t>
          </w:r>
        </w:smartTag>
        <w:r w:rsidRPr="00972CB4">
          <w:rPr>
            <w:szCs w:val="20"/>
          </w:rPr>
          <w:t xml:space="preserve">, </w:t>
        </w:r>
        <w:smartTag w:uri="urn:schemas-microsoft-com:office:smarttags" w:element="country-region">
          <w:r w:rsidRPr="00972CB4">
            <w:rPr>
              <w:szCs w:val="20"/>
            </w:rPr>
            <w:t>U.S.</w:t>
          </w:r>
        </w:smartTag>
      </w:smartTag>
      <w:r w:rsidRPr="00972CB4">
        <w:rPr>
          <w:szCs w:val="20"/>
        </w:rPr>
        <w:t xml:space="preserve"> EPA,</w:t>
      </w:r>
      <w:r w:rsidR="00A91947">
        <w:rPr>
          <w:szCs w:val="20"/>
        </w:rPr>
        <w:t xml:space="preserve"> </w:t>
      </w:r>
      <w:r w:rsidRPr="00972CB4">
        <w:rPr>
          <w:szCs w:val="20"/>
        </w:rPr>
        <w:t>and OEHHA, nervous system effects appear to be the most sensitive endpoint.</w:t>
      </w:r>
      <w:r w:rsidR="00A91947">
        <w:rPr>
          <w:szCs w:val="20"/>
        </w:rPr>
        <w:t xml:space="preserve"> </w:t>
      </w:r>
      <w:r w:rsidRPr="00972CB4">
        <w:rPr>
          <w:szCs w:val="20"/>
        </w:rPr>
        <w:t>These agencies based their recommended limits, 0.8, 2 and 2 ppm respectfully, on the study by Johnson et al. (1983).</w:t>
      </w:r>
      <w:r w:rsidR="00A91947">
        <w:rPr>
          <w:szCs w:val="20"/>
          <w:highlight w:val="yellow"/>
        </w:rPr>
        <w:t xml:space="preserve"> </w:t>
      </w:r>
      <w:r>
        <w:rPr>
          <w:szCs w:val="20"/>
          <w:highlight w:val="yellow"/>
        </w:rPr>
        <w:t xml:space="preserve">The more recent study by </w:t>
      </w:r>
      <w:proofErr w:type="spellStart"/>
      <w:r>
        <w:rPr>
          <w:szCs w:val="20"/>
          <w:highlight w:val="yellow"/>
        </w:rPr>
        <w:t>Godderis</w:t>
      </w:r>
      <w:proofErr w:type="spellEnd"/>
      <w:r>
        <w:rPr>
          <w:szCs w:val="20"/>
          <w:highlight w:val="yellow"/>
        </w:rPr>
        <w:t xml:space="preserve"> et al (2006) identified borderline effects possibly as low as 3 ppm, therefore a 1 ppm exposure limit would likely prevent significant decrements in peripheral motor nerve conduction.</w:t>
      </w:r>
      <w:r w:rsidR="00A91947">
        <w:rPr>
          <w:szCs w:val="20"/>
          <w:highlight w:val="yellow"/>
        </w:rPr>
        <w:t xml:space="preserve"> </w:t>
      </w:r>
    </w:p>
    <w:p w14:paraId="2CC60B72" w14:textId="45C1B387" w:rsidR="00DF09EA" w:rsidRPr="00972CB4" w:rsidRDefault="00DF09EA" w:rsidP="00043298">
      <w:pPr>
        <w:pStyle w:val="BodyText"/>
        <w:spacing w:before="240" w:after="240"/>
        <w:ind w:left="360" w:hanging="360"/>
        <w:rPr>
          <w:bCs/>
          <w:lang w:val="en-CA"/>
        </w:rPr>
      </w:pPr>
      <w:r>
        <w:rPr>
          <w:b/>
          <w:bCs/>
          <w:lang w:val="en-CA"/>
        </w:rPr>
        <w:t xml:space="preserve">Short Term Exposure Limit: </w:t>
      </w:r>
      <w:r w:rsidRPr="00972CB4">
        <w:rPr>
          <w:b/>
          <w:bCs/>
          <w:lang w:val="en-CA"/>
        </w:rPr>
        <w:t>no change to current STEL of 12 ppm.</w:t>
      </w:r>
    </w:p>
    <w:p w14:paraId="789DEA53" w14:textId="77777777" w:rsidR="00DF09EA" w:rsidRDefault="00DF09EA">
      <w:pPr>
        <w:pStyle w:val="BodyText"/>
        <w:ind w:left="360" w:hanging="360"/>
        <w:rPr>
          <w:color w:val="339966"/>
          <w:lang w:val="en-CA"/>
        </w:rPr>
      </w:pPr>
      <w:r w:rsidRPr="00972CB4">
        <w:rPr>
          <w:b/>
          <w:bCs/>
          <w:lang w:val="en-CA"/>
        </w:rPr>
        <w:t>Ceiling Limit: no change to current Ceiling limit of 30 ppm.</w:t>
      </w:r>
    </w:p>
    <w:p w14:paraId="1ABC731D" w14:textId="3665017B" w:rsidR="00DF09EA" w:rsidRDefault="00DF09EA" w:rsidP="00043298">
      <w:pPr>
        <w:pStyle w:val="BodyText"/>
        <w:spacing w:before="240"/>
        <w:ind w:left="360" w:hanging="360"/>
        <w:rPr>
          <w:lang w:val="en-CA"/>
        </w:rPr>
      </w:pPr>
      <w:r>
        <w:rPr>
          <w:b/>
          <w:bCs/>
          <w:lang w:val="en-CA"/>
        </w:rPr>
        <w:t xml:space="preserve">Other: </w:t>
      </w:r>
      <w:r>
        <w:rPr>
          <w:b/>
          <w:lang w:val="en-CA"/>
        </w:rPr>
        <w:t>Skin Absorption Notation</w:t>
      </w:r>
      <w:r>
        <w:rPr>
          <w:lang w:val="en-CA"/>
        </w:rPr>
        <w:t>.</w:t>
      </w:r>
      <w:r w:rsidR="00A91947">
        <w:rPr>
          <w:lang w:val="en-CA"/>
        </w:rPr>
        <w:t xml:space="preserve"> </w:t>
      </w:r>
      <w:r>
        <w:t xml:space="preserve">This recommendation is based upon the work by </w:t>
      </w:r>
      <w:proofErr w:type="spellStart"/>
      <w:r>
        <w:t>Dutkiewicz</w:t>
      </w:r>
      <w:proofErr w:type="spellEnd"/>
      <w:r>
        <w:t xml:space="preserve"> and </w:t>
      </w:r>
      <w:proofErr w:type="spellStart"/>
      <w:r>
        <w:t>Baranowska</w:t>
      </w:r>
      <w:proofErr w:type="spellEnd"/>
      <w:r>
        <w:t xml:space="preserve"> (1967) who measured skin absorption in human volunteers.</w:t>
      </w:r>
      <w:r w:rsidR="00A91947">
        <w:t xml:space="preserve"> </w:t>
      </w:r>
      <w:r>
        <w:t>This study provides enough data to support a warning that skin absorption can be a significant route of workplace exposure.</w:t>
      </w:r>
      <w:r w:rsidR="00A91947">
        <w:t xml:space="preserve"> </w:t>
      </w:r>
      <w:r>
        <w:t>Other standard-setting agencies have indicated the risk of over-exposure via skin absorption (NIOSH, OSHA, ACGIH, FRG MAK and others).</w:t>
      </w:r>
    </w:p>
    <w:p w14:paraId="6733E59C" w14:textId="77777777" w:rsidR="00DF09EA" w:rsidRDefault="00DF09EA" w:rsidP="00043298">
      <w:pPr>
        <w:pStyle w:val="Heading2"/>
        <w:keepNext/>
        <w:rPr>
          <w:sz w:val="24"/>
        </w:rPr>
      </w:pPr>
      <w:r>
        <w:rPr>
          <w:sz w:val="24"/>
        </w:rPr>
        <w:t>REFERENCES</w:t>
      </w:r>
    </w:p>
    <w:p w14:paraId="4CFC76F9" w14:textId="1CB7FFB4" w:rsidR="00DF09EA" w:rsidRPr="00FB16D6" w:rsidRDefault="00DF09EA" w:rsidP="00FB16D6">
      <w:pPr>
        <w:pStyle w:val="ListParagraph"/>
        <w:numPr>
          <w:ilvl w:val="0"/>
          <w:numId w:val="23"/>
        </w:numPr>
        <w:ind w:left="892" w:hanging="446"/>
        <w:contextualSpacing w:val="0"/>
        <w:rPr>
          <w:rFonts w:ascii="Arial" w:hAnsi="Arial" w:cs="Arial"/>
          <w:sz w:val="18"/>
          <w:szCs w:val="18"/>
          <w:lang w:val="fr-FR"/>
        </w:rPr>
      </w:pPr>
      <w:r w:rsidRPr="00FB16D6">
        <w:rPr>
          <w:rFonts w:ascii="Arial" w:hAnsi="Arial" w:cs="Arial"/>
          <w:sz w:val="18"/>
          <w:szCs w:val="18"/>
        </w:rPr>
        <w:t>ACGIH (American Conference of Governmental Industrial Hygienists). Documentation of Threshold Limit Values and Biological Exposure Indices.</w:t>
      </w:r>
      <w:r w:rsidR="00A91947" w:rsidRPr="00FB16D6">
        <w:rPr>
          <w:rFonts w:ascii="Arial" w:hAnsi="Arial" w:cs="Arial"/>
          <w:sz w:val="18"/>
          <w:szCs w:val="18"/>
        </w:rPr>
        <w:t xml:space="preserve"> </w:t>
      </w:r>
      <w:r w:rsidRPr="00FB16D6">
        <w:rPr>
          <w:rFonts w:ascii="Arial" w:hAnsi="Arial" w:cs="Arial"/>
          <w:sz w:val="18"/>
          <w:szCs w:val="18"/>
          <w:lang w:val="fr-FR"/>
        </w:rPr>
        <w:t xml:space="preserve">Carbon </w:t>
      </w:r>
      <w:proofErr w:type="spellStart"/>
      <w:r w:rsidRPr="00FB16D6">
        <w:rPr>
          <w:rFonts w:ascii="Arial" w:hAnsi="Arial" w:cs="Arial"/>
          <w:sz w:val="18"/>
          <w:szCs w:val="18"/>
          <w:lang w:val="fr-FR"/>
        </w:rPr>
        <w:t>Disulfide</w:t>
      </w:r>
      <w:proofErr w:type="spellEnd"/>
      <w:r w:rsidRPr="00FB16D6">
        <w:rPr>
          <w:rFonts w:ascii="Arial" w:hAnsi="Arial" w:cs="Arial"/>
          <w:sz w:val="18"/>
          <w:szCs w:val="18"/>
          <w:lang w:val="fr-FR"/>
        </w:rPr>
        <w:t xml:space="preserve"> TLV Documentation, 2006.</w:t>
      </w:r>
    </w:p>
    <w:p w14:paraId="0C6D1E7A" w14:textId="77777777" w:rsidR="00DF09EA" w:rsidRDefault="00DF09EA" w:rsidP="00FB16D6">
      <w:pPr>
        <w:pStyle w:val="ListParagraph"/>
        <w:numPr>
          <w:ilvl w:val="0"/>
          <w:numId w:val="23"/>
        </w:numPr>
        <w:ind w:left="892" w:hanging="446"/>
        <w:contextualSpacing w:val="0"/>
        <w:rPr>
          <w:rFonts w:ascii="Arial" w:hAnsi="Arial" w:cs="Arial"/>
          <w:sz w:val="18"/>
          <w:szCs w:val="18"/>
          <w:lang w:val="de-DE"/>
        </w:rPr>
      </w:pPr>
      <w:r>
        <w:rPr>
          <w:rFonts w:ascii="Arial" w:hAnsi="Arial" w:cs="Arial"/>
          <w:sz w:val="18"/>
          <w:szCs w:val="18"/>
        </w:rPr>
        <w:t xml:space="preserve">AIHA (American Industrial Hygiene Association). Emergency response planning guidelines. </w:t>
      </w:r>
      <w:r>
        <w:rPr>
          <w:rFonts w:ascii="Arial" w:hAnsi="Arial" w:cs="Arial"/>
          <w:sz w:val="18"/>
          <w:szCs w:val="18"/>
          <w:lang w:val="de-DE"/>
        </w:rPr>
        <w:t>Akron (OH): AIHA; 1992.</w:t>
      </w:r>
    </w:p>
    <w:p w14:paraId="5136F700" w14:textId="77777777" w:rsidR="00DF09EA" w:rsidRDefault="00DF09EA" w:rsidP="00FB16D6">
      <w:pPr>
        <w:pStyle w:val="ListParagraph"/>
        <w:numPr>
          <w:ilvl w:val="0"/>
          <w:numId w:val="23"/>
        </w:numPr>
        <w:ind w:left="892" w:hanging="446"/>
        <w:contextualSpacing w:val="0"/>
        <w:rPr>
          <w:rFonts w:ascii="Arial" w:hAnsi="Arial" w:cs="Arial"/>
          <w:sz w:val="18"/>
          <w:szCs w:val="18"/>
          <w:lang w:val="de-DE"/>
        </w:rPr>
      </w:pPr>
      <w:r>
        <w:rPr>
          <w:rFonts w:ascii="Arial" w:hAnsi="Arial" w:cs="Arial"/>
          <w:sz w:val="18"/>
          <w:szCs w:val="18"/>
          <w:lang w:val="de-DE"/>
        </w:rPr>
        <w:t xml:space="preserve">ATSDR Carbon Disulfide Risk Assessment 1996 </w:t>
      </w:r>
      <w:hyperlink r:id="rId13" w:anchor="bookmark05" w:history="1">
        <w:r>
          <w:rPr>
            <w:rStyle w:val="Hyperlink"/>
            <w:rFonts w:ascii="Arial" w:hAnsi="Arial" w:cs="Arial"/>
            <w:sz w:val="18"/>
            <w:szCs w:val="18"/>
          </w:rPr>
          <w:t>http://www.atsdr.cdc.gov/toxprofiles/tp82.html#bookmark05</w:t>
        </w:r>
      </w:hyperlink>
      <w:r>
        <w:rPr>
          <w:rFonts w:ascii="Arial" w:hAnsi="Arial" w:cs="Arial"/>
          <w:sz w:val="18"/>
          <w:szCs w:val="18"/>
        </w:rPr>
        <w:t xml:space="preserve"> </w:t>
      </w:r>
    </w:p>
    <w:p w14:paraId="44AE9C2F" w14:textId="03BF67F5" w:rsidR="00DF09EA" w:rsidRDefault="00DF09EA" w:rsidP="00FB16D6">
      <w:pPr>
        <w:pStyle w:val="ListParagraph"/>
        <w:numPr>
          <w:ilvl w:val="0"/>
          <w:numId w:val="23"/>
        </w:numPr>
        <w:ind w:left="892" w:hanging="446"/>
        <w:contextualSpacing w:val="0"/>
        <w:rPr>
          <w:rFonts w:ascii="Arial" w:hAnsi="Arial" w:cs="Arial"/>
          <w:sz w:val="18"/>
          <w:szCs w:val="18"/>
          <w:lang w:val="fr-FR"/>
        </w:rPr>
      </w:pPr>
      <w:proofErr w:type="spellStart"/>
      <w:r>
        <w:rPr>
          <w:rFonts w:ascii="Arial" w:hAnsi="Arial" w:cs="Arial"/>
          <w:sz w:val="18"/>
          <w:szCs w:val="18"/>
          <w:lang w:val="en-CA"/>
        </w:rPr>
        <w:t>Bulat</w:t>
      </w:r>
      <w:proofErr w:type="spellEnd"/>
      <w:r>
        <w:rPr>
          <w:rFonts w:ascii="Arial" w:hAnsi="Arial" w:cs="Arial"/>
          <w:sz w:val="18"/>
          <w:szCs w:val="18"/>
          <w:lang w:val="en-CA"/>
        </w:rPr>
        <w:t>, P. et al Comparison of Occupational Exposure to Carbon Disulphide in a Viscose Rayon Factory Before and After Technical Adjustments.</w:t>
      </w:r>
      <w:r w:rsidR="00A91947">
        <w:rPr>
          <w:rFonts w:ascii="Arial" w:hAnsi="Arial" w:cs="Arial"/>
          <w:sz w:val="18"/>
          <w:szCs w:val="18"/>
          <w:lang w:val="en-CA"/>
        </w:rPr>
        <w:t xml:space="preserve"> </w:t>
      </w:r>
      <w:proofErr w:type="spellStart"/>
      <w:r>
        <w:rPr>
          <w:rFonts w:ascii="Arial" w:hAnsi="Arial" w:cs="Arial"/>
          <w:sz w:val="18"/>
          <w:szCs w:val="18"/>
          <w:lang w:val="fr-FR"/>
        </w:rPr>
        <w:t>Applied</w:t>
      </w:r>
      <w:proofErr w:type="spellEnd"/>
      <w:r>
        <w:rPr>
          <w:rFonts w:ascii="Arial" w:hAnsi="Arial" w:cs="Arial"/>
          <w:sz w:val="18"/>
          <w:szCs w:val="18"/>
          <w:lang w:val="fr-FR"/>
        </w:rPr>
        <w:t xml:space="preserve"> </w:t>
      </w:r>
      <w:proofErr w:type="spellStart"/>
      <w:r>
        <w:rPr>
          <w:rFonts w:ascii="Arial" w:hAnsi="Arial" w:cs="Arial"/>
          <w:sz w:val="18"/>
          <w:szCs w:val="18"/>
          <w:lang w:val="fr-FR"/>
        </w:rPr>
        <w:t>Occ</w:t>
      </w:r>
      <w:proofErr w:type="spellEnd"/>
      <w:r>
        <w:rPr>
          <w:rFonts w:ascii="Arial" w:hAnsi="Arial" w:cs="Arial"/>
          <w:sz w:val="18"/>
          <w:szCs w:val="18"/>
          <w:lang w:val="fr-FR"/>
        </w:rPr>
        <w:t xml:space="preserve"> </w:t>
      </w:r>
      <w:proofErr w:type="spellStart"/>
      <w:r>
        <w:rPr>
          <w:rFonts w:ascii="Arial" w:hAnsi="Arial" w:cs="Arial"/>
          <w:sz w:val="18"/>
          <w:szCs w:val="18"/>
          <w:lang w:val="fr-FR"/>
        </w:rPr>
        <w:t>Envir</w:t>
      </w:r>
      <w:proofErr w:type="spellEnd"/>
      <w:r>
        <w:rPr>
          <w:rFonts w:ascii="Arial" w:hAnsi="Arial" w:cs="Arial"/>
          <w:sz w:val="18"/>
          <w:szCs w:val="18"/>
          <w:lang w:val="fr-FR"/>
        </w:rPr>
        <w:t xml:space="preserve"> </w:t>
      </w:r>
      <w:proofErr w:type="spellStart"/>
      <w:r>
        <w:rPr>
          <w:rFonts w:ascii="Arial" w:hAnsi="Arial" w:cs="Arial"/>
          <w:sz w:val="18"/>
          <w:szCs w:val="18"/>
          <w:lang w:val="fr-FR"/>
        </w:rPr>
        <w:t>Hygiene</w:t>
      </w:r>
      <w:proofErr w:type="spellEnd"/>
      <w:r>
        <w:rPr>
          <w:rFonts w:ascii="Arial" w:hAnsi="Arial" w:cs="Arial"/>
          <w:sz w:val="18"/>
          <w:szCs w:val="18"/>
          <w:lang w:val="fr-FR"/>
        </w:rPr>
        <w:t>, vol 17(1): 34-38, 2002.</w:t>
      </w:r>
    </w:p>
    <w:p w14:paraId="79AA811A" w14:textId="77777777" w:rsidR="00DF09EA" w:rsidRDefault="00DF09EA" w:rsidP="00FB16D6">
      <w:pPr>
        <w:pStyle w:val="ListParagraph"/>
        <w:numPr>
          <w:ilvl w:val="0"/>
          <w:numId w:val="23"/>
        </w:numPr>
        <w:ind w:left="892" w:hanging="446"/>
        <w:contextualSpacing w:val="0"/>
        <w:rPr>
          <w:rFonts w:ascii="Arial" w:hAnsi="Arial" w:cs="Arial"/>
          <w:sz w:val="18"/>
          <w:szCs w:val="18"/>
          <w:lang w:val="en-CA"/>
        </w:rPr>
      </w:pPr>
      <w:smartTag w:uri="urn:schemas-microsoft-com:office:smarttags" w:element="State">
        <w:smartTag w:uri="urn:schemas-microsoft-com:office:smarttags" w:element="place">
          <w:r>
            <w:rPr>
              <w:rFonts w:ascii="Arial" w:hAnsi="Arial" w:cs="Arial"/>
              <w:sz w:val="18"/>
              <w:szCs w:val="18"/>
              <w:lang w:val="en-CA"/>
            </w:rPr>
            <w:t>California</w:t>
          </w:r>
        </w:smartTag>
      </w:smartTag>
      <w:r>
        <w:rPr>
          <w:rFonts w:ascii="Arial" w:hAnsi="Arial" w:cs="Arial"/>
          <w:sz w:val="18"/>
          <w:szCs w:val="18"/>
          <w:lang w:val="en-CA"/>
        </w:rPr>
        <w:t xml:space="preserve"> Office of Environmental Health Hazards Effects (OEHHA) Acute Reference Exposure Level (REL) – Determination of Acute Reference Exposure Levels for Airborne Toxicants, Carbon Disulfide, March 1999.</w:t>
      </w:r>
    </w:p>
    <w:p w14:paraId="1D27ADF8" w14:textId="77777777" w:rsidR="00DF09EA" w:rsidRDefault="00DF09EA" w:rsidP="00FB16D6">
      <w:pPr>
        <w:pStyle w:val="ListParagraph"/>
        <w:numPr>
          <w:ilvl w:val="0"/>
          <w:numId w:val="23"/>
        </w:numPr>
        <w:ind w:left="892" w:hanging="446"/>
        <w:contextualSpacing w:val="0"/>
        <w:rPr>
          <w:rFonts w:ascii="Arial" w:hAnsi="Arial" w:cs="Arial"/>
          <w:sz w:val="18"/>
          <w:szCs w:val="18"/>
          <w:lang w:val="en-CA"/>
        </w:rPr>
      </w:pPr>
      <w:smartTag w:uri="urn:schemas-microsoft-com:office:smarttags" w:element="State">
        <w:smartTag w:uri="urn:schemas-microsoft-com:office:smarttags" w:element="place">
          <w:r>
            <w:rPr>
              <w:rFonts w:ascii="Arial" w:hAnsi="Arial" w:cs="Arial"/>
              <w:sz w:val="18"/>
              <w:szCs w:val="18"/>
              <w:lang w:val="en-CA"/>
            </w:rPr>
            <w:lastRenderedPageBreak/>
            <w:t>California</w:t>
          </w:r>
        </w:smartTag>
      </w:smartTag>
      <w:r>
        <w:rPr>
          <w:rFonts w:ascii="Arial" w:hAnsi="Arial" w:cs="Arial"/>
          <w:sz w:val="18"/>
          <w:szCs w:val="18"/>
          <w:lang w:val="en-CA"/>
        </w:rPr>
        <w:t xml:space="preserve"> Office of Environmental Health Hazards Effects (OEHHA) Chronic Toxicity Summary – Carbon Disulfide, </w:t>
      </w:r>
      <w:smartTag w:uri="urn:schemas-microsoft-com:office:smarttags" w:element="date">
        <w:smartTagPr>
          <w:attr w:name="Month" w:val="11"/>
          <w:attr w:name="Day" w:val="14"/>
          <w:attr w:name="Year" w:val="2001"/>
        </w:smartTagPr>
        <w:r>
          <w:rPr>
            <w:rFonts w:ascii="Arial" w:hAnsi="Arial" w:cs="Arial"/>
            <w:sz w:val="18"/>
            <w:szCs w:val="18"/>
            <w:lang w:val="en-CA"/>
          </w:rPr>
          <w:t>November 14, 2001</w:t>
        </w:r>
      </w:smartTag>
      <w:r>
        <w:rPr>
          <w:rFonts w:ascii="Arial" w:hAnsi="Arial" w:cs="Arial"/>
          <w:sz w:val="18"/>
          <w:szCs w:val="18"/>
          <w:lang w:val="en-CA"/>
        </w:rPr>
        <w:t>.</w:t>
      </w:r>
    </w:p>
    <w:p w14:paraId="1649CFC0" w14:textId="77777777" w:rsidR="00DF09EA" w:rsidRDefault="00DF09EA" w:rsidP="00FB16D6">
      <w:pPr>
        <w:pStyle w:val="ListParagraph"/>
        <w:numPr>
          <w:ilvl w:val="0"/>
          <w:numId w:val="23"/>
        </w:numPr>
        <w:ind w:left="892" w:hanging="446"/>
        <w:contextualSpacing w:val="0"/>
        <w:rPr>
          <w:rFonts w:ascii="Arial" w:hAnsi="Arial" w:cs="Arial"/>
          <w:sz w:val="18"/>
          <w:szCs w:val="18"/>
        </w:rPr>
      </w:pPr>
      <w:proofErr w:type="spellStart"/>
      <w:r>
        <w:rPr>
          <w:rFonts w:ascii="Arial" w:hAnsi="Arial" w:cs="Arial"/>
          <w:sz w:val="18"/>
          <w:szCs w:val="18"/>
        </w:rPr>
        <w:t>Dutkiewicz</w:t>
      </w:r>
      <w:proofErr w:type="spellEnd"/>
      <w:r>
        <w:rPr>
          <w:rFonts w:ascii="Arial" w:hAnsi="Arial" w:cs="Arial"/>
          <w:sz w:val="18"/>
          <w:szCs w:val="18"/>
        </w:rPr>
        <w:t xml:space="preserve"> T &amp; </w:t>
      </w:r>
      <w:proofErr w:type="spellStart"/>
      <w:r>
        <w:rPr>
          <w:rFonts w:ascii="Arial" w:hAnsi="Arial" w:cs="Arial"/>
          <w:sz w:val="18"/>
          <w:szCs w:val="18"/>
        </w:rPr>
        <w:t>Baranowska</w:t>
      </w:r>
      <w:proofErr w:type="spellEnd"/>
      <w:r>
        <w:rPr>
          <w:rFonts w:ascii="Arial" w:hAnsi="Arial" w:cs="Arial"/>
          <w:sz w:val="18"/>
          <w:szCs w:val="18"/>
        </w:rPr>
        <w:t xml:space="preserve"> B: The Significance of Absorption of Carbon Disulfide Through the Skin in the Evaluation of Exposure, in: </w:t>
      </w:r>
      <w:proofErr w:type="spellStart"/>
      <w:r>
        <w:rPr>
          <w:rFonts w:ascii="Arial" w:hAnsi="Arial" w:cs="Arial"/>
          <w:sz w:val="18"/>
          <w:szCs w:val="18"/>
        </w:rPr>
        <w:t>Brieger</w:t>
      </w:r>
      <w:proofErr w:type="spellEnd"/>
      <w:r>
        <w:rPr>
          <w:rFonts w:ascii="Arial" w:hAnsi="Arial" w:cs="Arial"/>
          <w:sz w:val="18"/>
          <w:szCs w:val="18"/>
        </w:rPr>
        <w:t xml:space="preserve"> H &amp; </w:t>
      </w:r>
      <w:proofErr w:type="spellStart"/>
      <w:r>
        <w:rPr>
          <w:rFonts w:ascii="Arial" w:hAnsi="Arial" w:cs="Arial"/>
          <w:sz w:val="18"/>
          <w:szCs w:val="18"/>
        </w:rPr>
        <w:t>Teisinger</w:t>
      </w:r>
      <w:proofErr w:type="spellEnd"/>
      <w:r>
        <w:rPr>
          <w:rFonts w:ascii="Arial" w:hAnsi="Arial" w:cs="Arial"/>
          <w:sz w:val="18"/>
          <w:szCs w:val="18"/>
        </w:rPr>
        <w:t xml:space="preserve"> J (Eds), Toxicology of Carbon Disulfide, </w:t>
      </w:r>
      <w:proofErr w:type="spellStart"/>
      <w:r>
        <w:rPr>
          <w:rFonts w:ascii="Arial" w:hAnsi="Arial" w:cs="Arial"/>
          <w:sz w:val="18"/>
          <w:szCs w:val="18"/>
        </w:rPr>
        <w:t>Excerpta</w:t>
      </w:r>
      <w:proofErr w:type="spellEnd"/>
      <w:r>
        <w:rPr>
          <w:rFonts w:ascii="Arial" w:hAnsi="Arial" w:cs="Arial"/>
          <w:sz w:val="18"/>
          <w:szCs w:val="18"/>
        </w:rPr>
        <w:t xml:space="preserve"> Medica, Amsterdam, The Netherlands, p. 50, 1967.</w:t>
      </w:r>
    </w:p>
    <w:p w14:paraId="28B3A542" w14:textId="18A8233B"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rPr>
        <w:t xml:space="preserve">EPA IRIS Carbon Disulfide Risk Assessment </w:t>
      </w:r>
      <w:hyperlink r:id="rId14" w:history="1">
        <w:r>
          <w:rPr>
            <w:rStyle w:val="Hyperlink"/>
            <w:rFonts w:ascii="Arial" w:hAnsi="Arial" w:cs="Arial"/>
            <w:sz w:val="18"/>
            <w:szCs w:val="18"/>
          </w:rPr>
          <w:t>http://www.epa.gov/iris/subst/0217.htm</w:t>
        </w:r>
      </w:hyperlink>
      <w:r w:rsidR="00A91947">
        <w:rPr>
          <w:rFonts w:ascii="Arial" w:hAnsi="Arial" w:cs="Arial"/>
          <w:sz w:val="18"/>
          <w:szCs w:val="18"/>
        </w:rPr>
        <w:t xml:space="preserve"> </w:t>
      </w:r>
    </w:p>
    <w:p w14:paraId="0ED7AAC6" w14:textId="77777777" w:rsidR="00DF09EA" w:rsidRDefault="00DF09EA" w:rsidP="00FB16D6">
      <w:pPr>
        <w:pStyle w:val="ListParagraph"/>
        <w:numPr>
          <w:ilvl w:val="0"/>
          <w:numId w:val="23"/>
        </w:numPr>
        <w:ind w:left="892" w:hanging="446"/>
        <w:contextualSpacing w:val="0"/>
        <w:rPr>
          <w:rFonts w:ascii="Arial" w:hAnsi="Arial" w:cs="Arial"/>
          <w:sz w:val="18"/>
          <w:szCs w:val="18"/>
          <w:lang w:val="en-CA"/>
        </w:rPr>
      </w:pPr>
      <w:proofErr w:type="spellStart"/>
      <w:r>
        <w:rPr>
          <w:rFonts w:ascii="Arial" w:hAnsi="Arial" w:cs="Arial"/>
          <w:sz w:val="18"/>
          <w:szCs w:val="18"/>
        </w:rPr>
        <w:t>Fairhill</w:t>
      </w:r>
      <w:proofErr w:type="spellEnd"/>
      <w:r>
        <w:rPr>
          <w:rFonts w:ascii="Arial" w:hAnsi="Arial" w:cs="Arial"/>
          <w:sz w:val="18"/>
          <w:szCs w:val="18"/>
        </w:rPr>
        <w:t xml:space="preserve"> LT: Industrial Toxicology, Williams &amp; Wilkins Company, </w:t>
      </w:r>
      <w:smartTag w:uri="urn:schemas-microsoft-com:office:smarttags" w:element="place">
        <w:smartTag w:uri="urn:schemas-microsoft-com:office:smarttags" w:element="City">
          <w:r>
            <w:rPr>
              <w:rFonts w:ascii="Arial" w:hAnsi="Arial" w:cs="Arial"/>
              <w:sz w:val="18"/>
              <w:szCs w:val="18"/>
            </w:rPr>
            <w:t>Baltimore</w:t>
          </w:r>
        </w:smartTag>
        <w:r>
          <w:rPr>
            <w:rFonts w:ascii="Arial" w:hAnsi="Arial" w:cs="Arial"/>
            <w:sz w:val="18"/>
            <w:szCs w:val="18"/>
          </w:rPr>
          <w:t xml:space="preserve">, </w:t>
        </w:r>
        <w:smartTag w:uri="urn:schemas-microsoft-com:office:smarttags" w:element="State">
          <w:r>
            <w:rPr>
              <w:rFonts w:ascii="Arial" w:hAnsi="Arial" w:cs="Arial"/>
              <w:sz w:val="18"/>
              <w:szCs w:val="18"/>
            </w:rPr>
            <w:t>MD</w:t>
          </w:r>
        </w:smartTag>
      </w:smartTag>
      <w:r>
        <w:rPr>
          <w:rFonts w:ascii="Arial" w:hAnsi="Arial" w:cs="Arial"/>
          <w:sz w:val="18"/>
          <w:szCs w:val="18"/>
        </w:rPr>
        <w:t>, 1957.</w:t>
      </w:r>
    </w:p>
    <w:p w14:paraId="02BF2096"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nl-NL"/>
        </w:rPr>
        <w:t xml:space="preserve">Godderis, L, et al. </w:t>
      </w:r>
      <w:r>
        <w:rPr>
          <w:rFonts w:ascii="Arial" w:hAnsi="Arial" w:cs="Arial"/>
          <w:sz w:val="18"/>
          <w:szCs w:val="18"/>
          <w:lang w:val="en-CA"/>
        </w:rPr>
        <w:t xml:space="preserve">Neurobehavioral and Clinical Effects in Workers Exposed to Carbon Disulphide. Int J </w:t>
      </w:r>
      <w:proofErr w:type="spellStart"/>
      <w:r>
        <w:rPr>
          <w:rFonts w:ascii="Arial" w:hAnsi="Arial" w:cs="Arial"/>
          <w:sz w:val="18"/>
          <w:szCs w:val="18"/>
          <w:lang w:val="en-CA"/>
        </w:rPr>
        <w:t>Hyg</w:t>
      </w:r>
      <w:proofErr w:type="spellEnd"/>
      <w:r>
        <w:rPr>
          <w:rFonts w:ascii="Arial" w:hAnsi="Arial" w:cs="Arial"/>
          <w:sz w:val="18"/>
          <w:szCs w:val="18"/>
          <w:lang w:val="en-CA"/>
        </w:rPr>
        <w:t xml:space="preserve"> Environ Health, 209; 139-150, 2006.</w:t>
      </w:r>
    </w:p>
    <w:p w14:paraId="7951C5DF" w14:textId="597BECAB"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rPr>
        <w:t>IRIS (Integrated Risk Information System). Inhalation Reference Concentration (</w:t>
      </w:r>
      <w:proofErr w:type="spellStart"/>
      <w:r>
        <w:rPr>
          <w:rFonts w:ascii="Arial" w:hAnsi="Arial" w:cs="Arial"/>
          <w:sz w:val="18"/>
          <w:szCs w:val="18"/>
        </w:rPr>
        <w:t>RfC</w:t>
      </w:r>
      <w:proofErr w:type="spellEnd"/>
      <w:r>
        <w:rPr>
          <w:rFonts w:ascii="Arial" w:hAnsi="Arial" w:cs="Arial"/>
          <w:sz w:val="18"/>
          <w:szCs w:val="18"/>
        </w:rPr>
        <w:t xml:space="preserve">), US Environmental Protection Agency, </w:t>
      </w:r>
      <w:smartTag w:uri="urn:schemas-microsoft-com:office:smarttags" w:element="place">
        <w:smartTag w:uri="urn:schemas-microsoft-com:office:smarttags" w:element="City">
          <w:r>
            <w:rPr>
              <w:rFonts w:ascii="Arial" w:hAnsi="Arial" w:cs="Arial"/>
              <w:sz w:val="18"/>
              <w:szCs w:val="18"/>
            </w:rPr>
            <w:t>Washington</w:t>
          </w:r>
        </w:smartTag>
        <w:r>
          <w:rPr>
            <w:rFonts w:ascii="Arial" w:hAnsi="Arial" w:cs="Arial"/>
            <w:sz w:val="18"/>
            <w:szCs w:val="18"/>
          </w:rPr>
          <w:t xml:space="preserve"> </w:t>
        </w:r>
        <w:smartTag w:uri="urn:schemas-microsoft-com:office:smarttags" w:element="State">
          <w:r>
            <w:rPr>
              <w:rFonts w:ascii="Arial" w:hAnsi="Arial" w:cs="Arial"/>
              <w:sz w:val="18"/>
              <w:szCs w:val="18"/>
            </w:rPr>
            <w:t>DC</w:t>
          </w:r>
        </w:smartTag>
      </w:smartTag>
      <w:r>
        <w:rPr>
          <w:rFonts w:ascii="Arial" w:hAnsi="Arial" w:cs="Arial"/>
          <w:sz w:val="18"/>
          <w:szCs w:val="18"/>
        </w:rPr>
        <w:t xml:space="preserve">, </w:t>
      </w:r>
      <w:smartTag w:uri="urn:schemas-microsoft-com:office:smarttags" w:element="date">
        <w:smartTagPr>
          <w:attr w:name="Month" w:val="8"/>
          <w:attr w:name="Day" w:val="1"/>
          <w:attr w:name="Year" w:val="1995"/>
        </w:smartTagPr>
        <w:r>
          <w:rPr>
            <w:rFonts w:ascii="Arial" w:hAnsi="Arial" w:cs="Arial"/>
            <w:sz w:val="18"/>
            <w:szCs w:val="18"/>
          </w:rPr>
          <w:t>8/1/1995</w:t>
        </w:r>
      </w:smartTag>
      <w:r>
        <w:rPr>
          <w:rFonts w:ascii="Arial" w:hAnsi="Arial" w:cs="Arial"/>
          <w:sz w:val="18"/>
          <w:szCs w:val="18"/>
        </w:rPr>
        <w:t>.</w:t>
      </w:r>
      <w:r w:rsidR="00A91947">
        <w:rPr>
          <w:rFonts w:ascii="Arial" w:hAnsi="Arial" w:cs="Arial"/>
          <w:sz w:val="18"/>
          <w:szCs w:val="18"/>
        </w:rPr>
        <w:t xml:space="preserve"> </w:t>
      </w:r>
    </w:p>
    <w:p w14:paraId="512102BC"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en-CA"/>
        </w:rPr>
        <w:t>Johnson BL, Boyd J, Burg JR, et al. Effects on the Peripheral Nervous System of Workers’ Exposure to Carbon Disulfide. Neurotoxicology, 4:53-66, 1983.</w:t>
      </w:r>
    </w:p>
    <w:p w14:paraId="7A72C77A" w14:textId="01D7EDF9" w:rsidR="00DF09EA" w:rsidRDefault="00DF09EA" w:rsidP="00FB16D6">
      <w:pPr>
        <w:pStyle w:val="ListParagraph"/>
        <w:numPr>
          <w:ilvl w:val="0"/>
          <w:numId w:val="23"/>
        </w:numPr>
        <w:ind w:left="892" w:hanging="446"/>
        <w:contextualSpacing w:val="0"/>
        <w:rPr>
          <w:rFonts w:ascii="Arial" w:hAnsi="Arial" w:cs="Arial"/>
          <w:sz w:val="18"/>
          <w:szCs w:val="18"/>
          <w:lang w:val="nl-NL"/>
        </w:rPr>
      </w:pPr>
      <w:proofErr w:type="spellStart"/>
      <w:r>
        <w:rPr>
          <w:rFonts w:ascii="Arial" w:hAnsi="Arial" w:cs="Arial"/>
          <w:sz w:val="18"/>
          <w:szCs w:val="18"/>
        </w:rPr>
        <w:t>Kotseva</w:t>
      </w:r>
      <w:proofErr w:type="spellEnd"/>
      <w:r>
        <w:rPr>
          <w:rFonts w:ascii="Arial" w:hAnsi="Arial" w:cs="Arial"/>
          <w:sz w:val="18"/>
          <w:szCs w:val="18"/>
        </w:rPr>
        <w:t xml:space="preserve">, K. et al. Cardiovascular Effects of Occupational Exposure to Carbon </w:t>
      </w:r>
      <w:proofErr w:type="spellStart"/>
      <w:r>
        <w:rPr>
          <w:rFonts w:ascii="Arial" w:hAnsi="Arial" w:cs="Arial"/>
          <w:sz w:val="18"/>
          <w:szCs w:val="18"/>
        </w:rPr>
        <w:t>Disulphide</w:t>
      </w:r>
      <w:proofErr w:type="spellEnd"/>
      <w:r>
        <w:rPr>
          <w:rFonts w:ascii="Arial" w:hAnsi="Arial" w:cs="Arial"/>
          <w:sz w:val="18"/>
          <w:szCs w:val="18"/>
        </w:rPr>
        <w:t>.</w:t>
      </w:r>
      <w:r w:rsidR="00A91947">
        <w:rPr>
          <w:rFonts w:ascii="Arial" w:hAnsi="Arial" w:cs="Arial"/>
          <w:sz w:val="18"/>
          <w:szCs w:val="18"/>
        </w:rPr>
        <w:t xml:space="preserve"> </w:t>
      </w:r>
      <w:r>
        <w:rPr>
          <w:rFonts w:ascii="Arial" w:hAnsi="Arial" w:cs="Arial"/>
          <w:sz w:val="18"/>
          <w:szCs w:val="18"/>
          <w:lang w:val="nl-NL"/>
        </w:rPr>
        <w:t>Occup Med, vol. 50(1), 43-47, 2000.</w:t>
      </w:r>
    </w:p>
    <w:p w14:paraId="205B83B7" w14:textId="19DC93A6"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en-CA"/>
        </w:rPr>
        <w:t>National Institute for Occupational Safety and Health (NIOSH) Recommendations for a Carbon Disulfide Standard.</w:t>
      </w:r>
      <w:r w:rsidR="00A91947">
        <w:rPr>
          <w:rFonts w:ascii="Arial" w:hAnsi="Arial" w:cs="Arial"/>
          <w:sz w:val="18"/>
          <w:szCs w:val="18"/>
          <w:lang w:val="en-CA"/>
        </w:rPr>
        <w:t xml:space="preserve"> </w:t>
      </w:r>
      <w:r>
        <w:rPr>
          <w:rFonts w:ascii="Arial" w:hAnsi="Arial" w:cs="Arial"/>
          <w:sz w:val="18"/>
          <w:szCs w:val="18"/>
        </w:rPr>
        <w:t>DHHS (NIOSH) Publication No. 77-156, May 1977.</w:t>
      </w:r>
    </w:p>
    <w:p w14:paraId="71D8C8A3" w14:textId="3F78F7E5"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en-CA"/>
        </w:rPr>
        <w:t xml:space="preserve">National Institute for Occupational Safety and Health (NIOSH) Immediately Dangerous to Life or Health (IDLH) Documentation, latest edition from webpage: </w:t>
      </w:r>
      <w:hyperlink r:id="rId15" w:history="1">
        <w:r>
          <w:rPr>
            <w:rStyle w:val="Hyperlink"/>
            <w:rFonts w:ascii="Arial" w:hAnsi="Arial" w:cs="Arial"/>
            <w:sz w:val="18"/>
            <w:szCs w:val="18"/>
          </w:rPr>
          <w:t>http://www.cdc.gov/niosh/idlh/75150.html</w:t>
        </w:r>
      </w:hyperlink>
      <w:r w:rsidR="00A91947">
        <w:rPr>
          <w:rFonts w:ascii="Arial" w:hAnsi="Arial" w:cs="Arial"/>
          <w:sz w:val="18"/>
          <w:szCs w:val="18"/>
        </w:rPr>
        <w:t xml:space="preserve"> </w:t>
      </w:r>
    </w:p>
    <w:p w14:paraId="24960828"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bCs/>
          <w:sz w:val="18"/>
          <w:szCs w:val="18"/>
        </w:rPr>
        <w:t xml:space="preserve">NIOSH Criteria Document for Carbon Disulfide from webpage </w:t>
      </w:r>
      <w:hyperlink r:id="rId16" w:history="1">
        <w:r>
          <w:rPr>
            <w:rStyle w:val="Hyperlink"/>
            <w:rFonts w:ascii="Arial" w:hAnsi="Arial" w:cs="Arial"/>
            <w:sz w:val="18"/>
            <w:szCs w:val="18"/>
          </w:rPr>
          <w:t>http://www.cdc.gov/NIOSH/77-156.html</w:t>
        </w:r>
      </w:hyperlink>
    </w:p>
    <w:p w14:paraId="2AC3B296"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en-CA"/>
        </w:rPr>
        <w:t xml:space="preserve">Occupational Safety and Health Administration (OSHA) Toxicologic Review of Selected Chemicals, Carbon Disulfide, remanded PEL documentation, January 19, 1989. </w:t>
      </w:r>
      <w:hyperlink r:id="rId17" w:history="1">
        <w:r>
          <w:rPr>
            <w:rStyle w:val="Hyperlink"/>
            <w:rFonts w:ascii="Arial" w:hAnsi="Arial" w:cs="Arial"/>
            <w:sz w:val="18"/>
            <w:szCs w:val="18"/>
            <w:lang w:val="en-CA"/>
          </w:rPr>
          <w:t>http://www.cdc.gov/niosh/pel88/75-15.html</w:t>
        </w:r>
      </w:hyperlink>
    </w:p>
    <w:p w14:paraId="30A6E5FB"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en-CA"/>
        </w:rPr>
        <w:t xml:space="preserve">OEHHA Chronic REL latest edition from website: </w:t>
      </w:r>
      <w:hyperlink r:id="rId18" w:history="1">
        <w:r>
          <w:rPr>
            <w:rStyle w:val="Hyperlink"/>
            <w:rFonts w:ascii="Arial" w:hAnsi="Arial" w:cs="Arial"/>
            <w:sz w:val="18"/>
            <w:szCs w:val="18"/>
          </w:rPr>
          <w:t>http://www.oehha.ca.gov/air/chronic_rels/pdf/sum111401.pdf</w:t>
        </w:r>
      </w:hyperlink>
    </w:p>
    <w:p w14:paraId="0DD19E96"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lang w:val="en-CA"/>
        </w:rPr>
        <w:t xml:space="preserve">OEHHA Acute REL, latest edition from website: </w:t>
      </w:r>
      <w:hyperlink r:id="rId19" w:history="1">
        <w:r>
          <w:rPr>
            <w:rStyle w:val="Hyperlink"/>
            <w:rFonts w:ascii="Arial" w:hAnsi="Arial" w:cs="Arial"/>
            <w:sz w:val="18"/>
            <w:szCs w:val="18"/>
          </w:rPr>
          <w:t>http://www.oehha.ca.gov/air/acute_rels/pdf/75150A.pdf</w:t>
        </w:r>
      </w:hyperlink>
    </w:p>
    <w:p w14:paraId="3DBD9026"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rPr>
        <w:t xml:space="preserve">Reinhardt F, et al, Electrophysiological Investigation of Central, Peripheral and Autonomic Nerve Function in Workers with Long-Term Low-Level Exposure to Carbon </w:t>
      </w:r>
      <w:proofErr w:type="spellStart"/>
      <w:r>
        <w:rPr>
          <w:rFonts w:ascii="Arial" w:hAnsi="Arial" w:cs="Arial"/>
          <w:sz w:val="18"/>
          <w:szCs w:val="18"/>
        </w:rPr>
        <w:t>Disulphide</w:t>
      </w:r>
      <w:proofErr w:type="spellEnd"/>
      <w:r>
        <w:rPr>
          <w:rFonts w:ascii="Arial" w:hAnsi="Arial" w:cs="Arial"/>
          <w:sz w:val="18"/>
          <w:szCs w:val="18"/>
        </w:rPr>
        <w:t xml:space="preserve"> in the Viscose Industry. Int Arch </w:t>
      </w:r>
      <w:proofErr w:type="spellStart"/>
      <w:r>
        <w:rPr>
          <w:rFonts w:ascii="Arial" w:hAnsi="Arial" w:cs="Arial"/>
          <w:sz w:val="18"/>
          <w:szCs w:val="18"/>
        </w:rPr>
        <w:t>Occup</w:t>
      </w:r>
      <w:proofErr w:type="spellEnd"/>
      <w:r>
        <w:rPr>
          <w:rFonts w:ascii="Arial" w:hAnsi="Arial" w:cs="Arial"/>
          <w:sz w:val="18"/>
          <w:szCs w:val="18"/>
        </w:rPr>
        <w:t xml:space="preserve"> Environ Health, 1997; 70(4): 249-56. (Abstract only)</w:t>
      </w:r>
    </w:p>
    <w:p w14:paraId="2C4FC95D" w14:textId="77777777" w:rsidR="00DF09EA" w:rsidRDefault="00DF09EA" w:rsidP="00FB16D6">
      <w:pPr>
        <w:pStyle w:val="ListParagraph"/>
        <w:numPr>
          <w:ilvl w:val="0"/>
          <w:numId w:val="23"/>
        </w:numPr>
        <w:ind w:left="892" w:hanging="446"/>
        <w:contextualSpacing w:val="0"/>
        <w:rPr>
          <w:rFonts w:ascii="Arial" w:hAnsi="Arial" w:cs="Arial"/>
          <w:sz w:val="18"/>
          <w:szCs w:val="18"/>
          <w:lang w:val="en-CA"/>
        </w:rPr>
      </w:pPr>
      <w:smartTag w:uri="urn:schemas-microsoft-com:office:smarttags" w:element="City">
        <w:smartTag w:uri="urn:schemas-microsoft-com:office:smarttags" w:element="place">
          <w:r>
            <w:rPr>
              <w:rFonts w:ascii="Arial" w:hAnsi="Arial" w:cs="Arial"/>
              <w:sz w:val="18"/>
              <w:szCs w:val="18"/>
            </w:rPr>
            <w:t>Toyama</w:t>
          </w:r>
        </w:smartTag>
      </w:smartTag>
      <w:r>
        <w:rPr>
          <w:rFonts w:ascii="Arial" w:hAnsi="Arial" w:cs="Arial"/>
          <w:sz w:val="18"/>
          <w:szCs w:val="18"/>
        </w:rPr>
        <w:t xml:space="preserve"> T &amp; </w:t>
      </w:r>
      <w:proofErr w:type="spellStart"/>
      <w:r>
        <w:rPr>
          <w:rFonts w:ascii="Arial" w:hAnsi="Arial" w:cs="Arial"/>
          <w:sz w:val="18"/>
          <w:szCs w:val="18"/>
        </w:rPr>
        <w:t>Sukurai</w:t>
      </w:r>
      <w:proofErr w:type="spellEnd"/>
      <w:r>
        <w:rPr>
          <w:rFonts w:ascii="Arial" w:hAnsi="Arial" w:cs="Arial"/>
          <w:sz w:val="18"/>
          <w:szCs w:val="18"/>
        </w:rPr>
        <w:t xml:space="preserve"> H: Ten-year changes in exposure level and toxicological manifestations in carbon </w:t>
      </w:r>
      <w:proofErr w:type="spellStart"/>
      <w:r>
        <w:rPr>
          <w:rFonts w:ascii="Arial" w:hAnsi="Arial" w:cs="Arial"/>
          <w:sz w:val="18"/>
          <w:szCs w:val="18"/>
        </w:rPr>
        <w:t>disulphide</w:t>
      </w:r>
      <w:proofErr w:type="spellEnd"/>
      <w:r>
        <w:rPr>
          <w:rFonts w:ascii="Arial" w:hAnsi="Arial" w:cs="Arial"/>
          <w:sz w:val="18"/>
          <w:szCs w:val="18"/>
        </w:rPr>
        <w:t xml:space="preserve"> workers, in: </w:t>
      </w:r>
      <w:proofErr w:type="spellStart"/>
      <w:r>
        <w:rPr>
          <w:rFonts w:ascii="Arial" w:hAnsi="Arial" w:cs="Arial"/>
          <w:sz w:val="18"/>
          <w:szCs w:val="18"/>
        </w:rPr>
        <w:t>Brieger</w:t>
      </w:r>
      <w:proofErr w:type="spellEnd"/>
      <w:r>
        <w:rPr>
          <w:rFonts w:ascii="Arial" w:hAnsi="Arial" w:cs="Arial"/>
          <w:sz w:val="18"/>
          <w:szCs w:val="18"/>
        </w:rPr>
        <w:t xml:space="preserve"> H &amp; </w:t>
      </w:r>
      <w:proofErr w:type="spellStart"/>
      <w:r>
        <w:rPr>
          <w:rFonts w:ascii="Arial" w:hAnsi="Arial" w:cs="Arial"/>
          <w:sz w:val="18"/>
          <w:szCs w:val="18"/>
        </w:rPr>
        <w:t>Teisinger</w:t>
      </w:r>
      <w:proofErr w:type="spellEnd"/>
      <w:r>
        <w:rPr>
          <w:rFonts w:ascii="Arial" w:hAnsi="Arial" w:cs="Arial"/>
          <w:sz w:val="18"/>
          <w:szCs w:val="18"/>
        </w:rPr>
        <w:t xml:space="preserve"> J (Eds), </w:t>
      </w:r>
      <w:proofErr w:type="spellStart"/>
      <w:r>
        <w:rPr>
          <w:rFonts w:ascii="Arial" w:hAnsi="Arial" w:cs="Arial"/>
          <w:sz w:val="18"/>
          <w:szCs w:val="18"/>
        </w:rPr>
        <w:t>Excerpta</w:t>
      </w:r>
      <w:proofErr w:type="spellEnd"/>
      <w:r>
        <w:rPr>
          <w:rFonts w:ascii="Arial" w:hAnsi="Arial" w:cs="Arial"/>
          <w:sz w:val="18"/>
          <w:szCs w:val="18"/>
        </w:rPr>
        <w:t xml:space="preserve"> Medica, </w:t>
      </w:r>
      <w:smartTag w:uri="urn:schemas-microsoft-com:office:smarttags" w:element="City">
        <w:smartTag w:uri="urn:schemas-microsoft-com:office:smarttags" w:element="place">
          <w:r>
            <w:rPr>
              <w:rFonts w:ascii="Arial" w:hAnsi="Arial" w:cs="Arial"/>
              <w:sz w:val="18"/>
              <w:szCs w:val="18"/>
            </w:rPr>
            <w:t>Amsterdam</w:t>
          </w:r>
        </w:smartTag>
      </w:smartTag>
      <w:r>
        <w:rPr>
          <w:rFonts w:ascii="Arial" w:hAnsi="Arial" w:cs="Arial"/>
          <w:sz w:val="18"/>
          <w:szCs w:val="18"/>
        </w:rPr>
        <w:t>, The Netherlands, 1967.</w:t>
      </w:r>
    </w:p>
    <w:p w14:paraId="0BECBA2C" w14:textId="77777777" w:rsidR="00DF09EA" w:rsidRDefault="00DF09EA" w:rsidP="00FB16D6">
      <w:pPr>
        <w:pStyle w:val="ListParagraph"/>
        <w:numPr>
          <w:ilvl w:val="0"/>
          <w:numId w:val="23"/>
        </w:numPr>
        <w:ind w:left="892" w:hanging="446"/>
        <w:contextualSpacing w:val="0"/>
        <w:rPr>
          <w:rFonts w:ascii="Arial" w:hAnsi="Arial" w:cs="Arial"/>
          <w:sz w:val="18"/>
          <w:szCs w:val="18"/>
        </w:rPr>
      </w:pPr>
      <w:proofErr w:type="spellStart"/>
      <w:r>
        <w:rPr>
          <w:rFonts w:ascii="Arial" w:hAnsi="Arial" w:cs="Arial"/>
          <w:sz w:val="18"/>
          <w:szCs w:val="18"/>
        </w:rPr>
        <w:t>Vanhoorne</w:t>
      </w:r>
      <w:proofErr w:type="spellEnd"/>
      <w:r>
        <w:rPr>
          <w:rFonts w:ascii="Arial" w:hAnsi="Arial" w:cs="Arial"/>
          <w:sz w:val="18"/>
          <w:szCs w:val="18"/>
        </w:rPr>
        <w:t xml:space="preserve"> M, et al, Epidemiological study of eye irritation by hydrogen sulfide and/or carbon disulfide exposure in viscose rayon workers., Ann </w:t>
      </w:r>
      <w:proofErr w:type="spellStart"/>
      <w:r>
        <w:rPr>
          <w:rFonts w:ascii="Arial" w:hAnsi="Arial" w:cs="Arial"/>
          <w:sz w:val="18"/>
          <w:szCs w:val="18"/>
        </w:rPr>
        <w:t>Occup</w:t>
      </w:r>
      <w:proofErr w:type="spellEnd"/>
      <w:r>
        <w:rPr>
          <w:rFonts w:ascii="Arial" w:hAnsi="Arial" w:cs="Arial"/>
          <w:sz w:val="18"/>
          <w:szCs w:val="18"/>
        </w:rPr>
        <w:t xml:space="preserve"> </w:t>
      </w:r>
      <w:proofErr w:type="spellStart"/>
      <w:r>
        <w:rPr>
          <w:rFonts w:ascii="Arial" w:hAnsi="Arial" w:cs="Arial"/>
          <w:sz w:val="18"/>
          <w:szCs w:val="18"/>
        </w:rPr>
        <w:t>Hyg</w:t>
      </w:r>
      <w:proofErr w:type="spellEnd"/>
      <w:r>
        <w:rPr>
          <w:rFonts w:ascii="Arial" w:hAnsi="Arial" w:cs="Arial"/>
          <w:sz w:val="18"/>
          <w:szCs w:val="18"/>
        </w:rPr>
        <w:t xml:space="preserve">, 1995, 39(3), 307-315. </w:t>
      </w:r>
    </w:p>
    <w:p w14:paraId="13AEE51B" w14:textId="719F3D23" w:rsidR="00DF09EA" w:rsidRDefault="00DF09EA" w:rsidP="00FB16D6">
      <w:pPr>
        <w:pStyle w:val="ListParagraph"/>
        <w:numPr>
          <w:ilvl w:val="0"/>
          <w:numId w:val="23"/>
        </w:numPr>
        <w:ind w:left="892" w:hanging="446"/>
        <w:contextualSpacing w:val="0"/>
        <w:rPr>
          <w:rFonts w:ascii="Arial" w:hAnsi="Arial" w:cs="Arial"/>
          <w:sz w:val="18"/>
          <w:szCs w:val="18"/>
          <w:lang w:val="it-IT"/>
        </w:rPr>
      </w:pPr>
      <w:proofErr w:type="spellStart"/>
      <w:r>
        <w:rPr>
          <w:rFonts w:ascii="Arial" w:hAnsi="Arial" w:cs="Arial"/>
          <w:sz w:val="18"/>
          <w:szCs w:val="18"/>
        </w:rPr>
        <w:t>Vanhoorne</w:t>
      </w:r>
      <w:proofErr w:type="spellEnd"/>
      <w:r>
        <w:rPr>
          <w:rFonts w:ascii="Arial" w:hAnsi="Arial" w:cs="Arial"/>
          <w:sz w:val="18"/>
          <w:szCs w:val="18"/>
        </w:rPr>
        <w:t xml:space="preserve"> M, et al, Survey of Chemical Exposures in a Viscose Rayon Plant.</w:t>
      </w:r>
      <w:r w:rsidR="00A91947">
        <w:rPr>
          <w:rFonts w:ascii="Arial" w:hAnsi="Arial" w:cs="Arial"/>
          <w:sz w:val="18"/>
          <w:szCs w:val="18"/>
        </w:rPr>
        <w:t xml:space="preserve"> </w:t>
      </w:r>
      <w:r>
        <w:rPr>
          <w:rFonts w:ascii="Arial" w:hAnsi="Arial" w:cs="Arial"/>
          <w:sz w:val="18"/>
          <w:szCs w:val="18"/>
          <w:lang w:val="it-IT"/>
        </w:rPr>
        <w:t>Ann Occ Hyg, vol 35, no 6, pp 619-631, 1991.</w:t>
      </w:r>
    </w:p>
    <w:p w14:paraId="3797FC59" w14:textId="77777777" w:rsidR="00DF09EA" w:rsidRDefault="00DF09EA" w:rsidP="00FB16D6">
      <w:pPr>
        <w:pStyle w:val="ListParagraph"/>
        <w:numPr>
          <w:ilvl w:val="0"/>
          <w:numId w:val="23"/>
        </w:numPr>
        <w:ind w:left="892" w:hanging="446"/>
        <w:contextualSpacing w:val="0"/>
        <w:rPr>
          <w:rFonts w:ascii="Arial" w:hAnsi="Arial" w:cs="Arial"/>
          <w:sz w:val="18"/>
          <w:szCs w:val="18"/>
        </w:rPr>
      </w:pPr>
      <w:proofErr w:type="spellStart"/>
      <w:r>
        <w:rPr>
          <w:rFonts w:ascii="Arial" w:hAnsi="Arial" w:cs="Arial"/>
          <w:sz w:val="18"/>
          <w:szCs w:val="18"/>
        </w:rPr>
        <w:t>Warot</w:t>
      </w:r>
      <w:proofErr w:type="spellEnd"/>
      <w:r>
        <w:rPr>
          <w:rFonts w:ascii="Arial" w:hAnsi="Arial" w:cs="Arial"/>
          <w:sz w:val="18"/>
          <w:szCs w:val="18"/>
        </w:rPr>
        <w:t xml:space="preserve"> P, </w:t>
      </w:r>
      <w:proofErr w:type="spellStart"/>
      <w:r>
        <w:rPr>
          <w:rFonts w:ascii="Arial" w:hAnsi="Arial" w:cs="Arial"/>
          <w:sz w:val="18"/>
          <w:szCs w:val="18"/>
        </w:rPr>
        <w:t>Colleau</w:t>
      </w:r>
      <w:proofErr w:type="spellEnd"/>
      <w:r>
        <w:rPr>
          <w:rFonts w:ascii="Arial" w:hAnsi="Arial" w:cs="Arial"/>
          <w:sz w:val="18"/>
          <w:szCs w:val="18"/>
        </w:rPr>
        <w:t xml:space="preserve"> P, &amp; </w:t>
      </w:r>
      <w:proofErr w:type="spellStart"/>
      <w:r>
        <w:rPr>
          <w:rFonts w:ascii="Arial" w:hAnsi="Arial" w:cs="Arial"/>
          <w:sz w:val="18"/>
          <w:szCs w:val="18"/>
        </w:rPr>
        <w:t>Meignie</w:t>
      </w:r>
      <w:proofErr w:type="spellEnd"/>
      <w:r>
        <w:rPr>
          <w:rFonts w:ascii="Arial" w:hAnsi="Arial" w:cs="Arial"/>
          <w:sz w:val="18"/>
          <w:szCs w:val="18"/>
        </w:rPr>
        <w:t xml:space="preserve"> S: Arch Mal Prof 1964; 25:348.</w:t>
      </w:r>
    </w:p>
    <w:p w14:paraId="5CB8BD5E" w14:textId="77777777" w:rsidR="00DF09EA" w:rsidRDefault="00DF09EA" w:rsidP="00FB16D6">
      <w:pPr>
        <w:pStyle w:val="ListParagraph"/>
        <w:numPr>
          <w:ilvl w:val="0"/>
          <w:numId w:val="23"/>
        </w:numPr>
        <w:ind w:left="892" w:hanging="446"/>
        <w:contextualSpacing w:val="0"/>
        <w:rPr>
          <w:rFonts w:ascii="Arial" w:hAnsi="Arial" w:cs="Arial"/>
          <w:sz w:val="18"/>
          <w:szCs w:val="18"/>
        </w:rPr>
      </w:pPr>
      <w:r>
        <w:rPr>
          <w:rFonts w:ascii="Arial" w:hAnsi="Arial" w:cs="Arial"/>
          <w:sz w:val="18"/>
          <w:szCs w:val="18"/>
        </w:rPr>
        <w:t>Wu L, et al; Study on DNA Damage of Germ Cells Induced by Carbon Disulfide Inhalation in Mice. Chinese Journal (unspecified), 21(7):833-834, 2005. (Abstract only)</w:t>
      </w:r>
    </w:p>
    <w:p w14:paraId="3645B397" w14:textId="77777777" w:rsidR="00DF09EA" w:rsidRDefault="00DF09EA" w:rsidP="00FB16D6">
      <w:pPr>
        <w:pStyle w:val="ListParagraph"/>
        <w:numPr>
          <w:ilvl w:val="0"/>
          <w:numId w:val="23"/>
        </w:numPr>
        <w:ind w:left="892" w:hanging="446"/>
        <w:contextualSpacing w:val="0"/>
        <w:rPr>
          <w:rFonts w:ascii="Arial" w:hAnsi="Arial" w:cs="Arial"/>
          <w:sz w:val="18"/>
          <w:szCs w:val="18"/>
          <w:lang w:val="de-DE"/>
        </w:rPr>
      </w:pPr>
      <w:proofErr w:type="spellStart"/>
      <w:r>
        <w:rPr>
          <w:rFonts w:ascii="Arial" w:hAnsi="Arial" w:cs="Arial"/>
          <w:sz w:val="18"/>
          <w:szCs w:val="18"/>
        </w:rPr>
        <w:t>Xiaodong</w:t>
      </w:r>
      <w:proofErr w:type="spellEnd"/>
      <w:r>
        <w:rPr>
          <w:rFonts w:ascii="Arial" w:hAnsi="Arial" w:cs="Arial"/>
          <w:sz w:val="18"/>
          <w:szCs w:val="18"/>
        </w:rPr>
        <w:t xml:space="preserve"> Tan, et al, Cross-sectional Study of Cardiovascular Effects of Carbon Disulfide Among Chinese Workers of a Viscose Factory. </w:t>
      </w:r>
      <w:r>
        <w:rPr>
          <w:rFonts w:ascii="Arial" w:hAnsi="Arial" w:cs="Arial"/>
          <w:sz w:val="18"/>
          <w:szCs w:val="18"/>
          <w:lang w:val="de-DE"/>
        </w:rPr>
        <w:t>Int. J. Hyg. Environ. Health, 206 (2004); 217-225.</w:t>
      </w:r>
    </w:p>
    <w:p w14:paraId="2B0765AC" w14:textId="77777777" w:rsidR="00DF09EA" w:rsidRDefault="00DF09EA" w:rsidP="00FB16D6">
      <w:pPr>
        <w:pStyle w:val="ListParagraph"/>
        <w:numPr>
          <w:ilvl w:val="0"/>
          <w:numId w:val="23"/>
        </w:numPr>
        <w:ind w:left="892" w:hanging="446"/>
        <w:contextualSpacing w:val="0"/>
        <w:rPr>
          <w:rFonts w:ascii="Arial" w:hAnsi="Arial" w:cs="Arial"/>
          <w:sz w:val="18"/>
          <w:szCs w:val="18"/>
          <w:lang w:val="de-DE"/>
        </w:rPr>
      </w:pPr>
      <w:r>
        <w:rPr>
          <w:rFonts w:ascii="Arial" w:hAnsi="Arial" w:cs="Arial"/>
          <w:sz w:val="18"/>
          <w:szCs w:val="18"/>
          <w:lang w:val="de-DE"/>
        </w:rPr>
        <w:t>Xiaodong Tan, et al, Carbon Disulfide Exposure Assessment in a Chinese Viscose Filament Plant. Int J Hyg Environ Health, 203, 465-471, 2001.</w:t>
      </w:r>
    </w:p>
    <w:sectPr w:rsidR="00DF09EA" w:rsidSect="00E75A4A">
      <w:headerReference w:type="even" r:id="rId20"/>
      <w:headerReference w:type="default" r:id="rId21"/>
      <w:headerReference w:type="first" r:id="rId2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8725F" w14:textId="77777777" w:rsidR="00727E5C" w:rsidRDefault="00727E5C">
      <w:r>
        <w:separator/>
      </w:r>
    </w:p>
  </w:endnote>
  <w:endnote w:type="continuationSeparator" w:id="0">
    <w:p w14:paraId="61F0DFDF" w14:textId="77777777" w:rsidR="00727E5C" w:rsidRDefault="0072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7516" w14:textId="5D4830A0" w:rsidR="00DF09EA" w:rsidRDefault="00DF09EA">
    <w:pPr>
      <w:tabs>
        <w:tab w:val="center" w:pos="4680"/>
        <w:tab w:val="right" w:pos="9360"/>
      </w:tabs>
      <w:spacing w:before="216"/>
      <w:rPr>
        <w:sz w:val="20"/>
      </w:rPr>
    </w:pPr>
    <w:r>
      <w:rPr>
        <w:sz w:val="20"/>
      </w:rPr>
      <w:t>Carbon Disulfide</w:t>
    </w:r>
    <w:r>
      <w:rPr>
        <w:sz w:val="20"/>
      </w:rPr>
      <w:tab/>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Pr>
        <w:noProof/>
        <w:sz w:val="20"/>
      </w:rPr>
      <w:t>1</w:t>
    </w:r>
    <w:r>
      <w:rPr>
        <w:sz w:val="20"/>
      </w:rPr>
      <w:fldChar w:fldCharType="end"/>
    </w:r>
    <w:r>
      <w:rPr>
        <w:sz w:val="20"/>
      </w:rPr>
      <w:tab/>
    </w:r>
    <w:r>
      <w:rPr>
        <w:sz w:val="20"/>
      </w:rPr>
      <w:fldChar w:fldCharType="begin"/>
    </w:r>
    <w:r>
      <w:rPr>
        <w:sz w:val="20"/>
      </w:rPr>
      <w:instrText xml:space="preserve"> DATE \@ "M/d/yyyy" </w:instrText>
    </w:r>
    <w:r>
      <w:rPr>
        <w:sz w:val="20"/>
      </w:rPr>
      <w:fldChar w:fldCharType="separate"/>
    </w:r>
    <w:r w:rsidR="00083AC9">
      <w:rPr>
        <w:noProof/>
        <w:sz w:val="20"/>
      </w:rPr>
      <w:t>1/16/2021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125A" w14:textId="77777777" w:rsidR="00DF09EA" w:rsidRDefault="00DF09EA">
    <w:pPr>
      <w:tabs>
        <w:tab w:val="center" w:pos="4680"/>
        <w:tab w:val="right" w:pos="9360"/>
      </w:tabs>
      <w:spacing w:line="0" w:lineRule="atLeast"/>
      <w:jc w:val="right"/>
      <w:rPr>
        <w:sz w:val="20"/>
      </w:rPr>
    </w:pPr>
    <w:r>
      <w:rPr>
        <w:sz w:val="20"/>
      </w:rPr>
      <w:tab/>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365750">
      <w:rPr>
        <w:noProof/>
        <w:sz w:val="20"/>
      </w:rPr>
      <w:t>5</w:t>
    </w:r>
    <w:r>
      <w:rPr>
        <w:sz w:val="20"/>
      </w:rPr>
      <w:fldChar w:fldCharType="end"/>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CE45" w14:textId="77777777" w:rsidR="00E65C1A" w:rsidRDefault="00E6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AC19" w14:textId="77777777" w:rsidR="00727E5C" w:rsidRDefault="00727E5C">
      <w:r>
        <w:separator/>
      </w:r>
    </w:p>
  </w:footnote>
  <w:footnote w:type="continuationSeparator" w:id="0">
    <w:p w14:paraId="013C7ECB" w14:textId="77777777" w:rsidR="00727E5C" w:rsidRDefault="0072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AD74" w14:textId="1498258A" w:rsidR="00DF09EA" w:rsidRDefault="00083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pict w14:anchorId="2BE4E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0751" o:spid="_x0000_s2056" type="#_x0000_t75" style="position:absolute;margin-left:0;margin-top:0;width:467.7pt;height:189.35pt;z-index:-251657216;mso-position-horizontal:center;mso-position-horizontal-relative:margin;mso-position-vertical:center;mso-position-vertical-relative:margin" o:allowincell="f">
          <v:imagedata r:id="rId1" o:title="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BB55" w14:textId="08A0AC1C" w:rsidR="00DF09EA" w:rsidRDefault="00083AC9" w:rsidP="00E75A4A">
    <w:r>
      <w:rPr>
        <w:noProof/>
      </w:rPr>
      <w:pict w14:anchorId="16F75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0752" o:spid="_x0000_s2057" type="#_x0000_t75" style="position:absolute;margin-left:0;margin-top:0;width:467.7pt;height:189.35pt;z-index:-251656192;mso-position-horizontal:center;mso-position-horizontal-relative:margin;mso-position-vertical:center;mso-position-vertical-relative:margin" o:allowincell="f">
          <v:imagedata r:id="rId1" o:title="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1DD5" w14:textId="28ACB7BE" w:rsidR="00E65C1A" w:rsidRDefault="00083AC9">
    <w:pPr>
      <w:pStyle w:val="Header"/>
    </w:pPr>
    <w:r>
      <w:rPr>
        <w:noProof/>
      </w:rPr>
      <w:pict w14:anchorId="0511B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0750" o:spid="_x0000_s2055" type="#_x0000_t75" style="position:absolute;margin-left:0;margin-top:0;width:467.7pt;height:189.35pt;z-index:-251658240;mso-position-horizontal:center;mso-position-horizontal-relative:margin;mso-position-vertical:center;mso-position-vertical-relative:margin" o:allowincell="f">
          <v:imagedata r:id="rId1" o:title="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17AA" w14:textId="49E4FB87" w:rsidR="00E65C1A" w:rsidRDefault="00083AC9">
    <w:pPr>
      <w:pStyle w:val="Header"/>
    </w:pPr>
    <w:r>
      <w:rPr>
        <w:noProof/>
      </w:rPr>
      <w:pict w14:anchorId="70925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0754" o:spid="_x0000_s2059" type="#_x0000_t75" style="position:absolute;margin-left:0;margin-top:0;width:467.7pt;height:189.35pt;z-index:-251654144;mso-position-horizontal:center;mso-position-horizontal-relative:margin;mso-position-vertical:center;mso-position-vertical-relative:margin" o:allowincell="f">
          <v:imagedata r:id="rId1" o:title="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4F00" w14:textId="388D6C64" w:rsidR="00E75A4A" w:rsidRDefault="00083AC9">
    <w:pPr>
      <w:pStyle w:val="Heading6"/>
      <w:rPr>
        <w:smallCaps/>
        <w:spacing w:val="20"/>
      </w:rPr>
    </w:pPr>
    <w:r>
      <w:rPr>
        <w:smallCaps/>
        <w:noProof/>
        <w:spacing w:val="20"/>
      </w:rPr>
      <w:pict w14:anchorId="24841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0755" o:spid="_x0000_s2060" type="#_x0000_t75" style="position:absolute;left:0;text-align:left;margin-left:0;margin-top:0;width:467.7pt;height:189.35pt;z-index:-251653120;mso-position-horizontal:center;mso-position-horizontal-relative:margin;mso-position-vertical:center;mso-position-vertical-relative:margin" o:allowincell="f">
          <v:imagedata r:id="rId1" o:title="Draft"/>
        </v:shape>
      </w:pict>
    </w:r>
    <w:r w:rsidR="00E75A4A">
      <w:rPr>
        <w:smallCaps/>
        <w:spacing w:val="20"/>
      </w:rPr>
      <w:t>Draft Carbon Disulfide (CS2) Health Effects Assessment</w:t>
    </w:r>
  </w:p>
  <w:p w14:paraId="0C19A040" w14:textId="6FE1BFFD" w:rsidR="00E75A4A" w:rsidRDefault="00E75A4A">
    <w:pPr>
      <w:pStyle w:val="Heading6"/>
    </w:pPr>
    <w:r>
      <w:rPr>
        <w:smallCaps/>
        <w:spacing w:val="20"/>
      </w:rPr>
      <w:t xml:space="preserve">Last Revised </w:t>
    </w:r>
    <w:smartTag w:uri="urn:schemas-microsoft-com:office:smarttags" w:element="date">
      <w:smartTagPr>
        <w:attr w:name="Year" w:val="2008"/>
        <w:attr w:name="Day" w:val="24"/>
        <w:attr w:name="Month" w:val="10"/>
      </w:smartTagPr>
      <w:r>
        <w:rPr>
          <w:smallCaps/>
          <w:spacing w:val="20"/>
        </w:rPr>
        <w:t>October 24th, 2008</w:t>
      </w:r>
    </w:smartTag>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A46" w14:textId="2AF41448" w:rsidR="00E65C1A" w:rsidRDefault="00083AC9">
    <w:pPr>
      <w:pStyle w:val="Header"/>
    </w:pPr>
    <w:r>
      <w:rPr>
        <w:noProof/>
      </w:rPr>
      <w:pict w14:anchorId="70BAD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0753" o:spid="_x0000_s2058" type="#_x0000_t75" style="position:absolute;margin-left:0;margin-top:0;width:467.7pt;height:189.35pt;z-index:-251655168;mso-position-horizontal:center;mso-position-horizontal-relative:margin;mso-position-vertical:center;mso-position-vertical-relative:margin" o:allowincell="f">
          <v:imagedata r:id="rId1" o:title="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DEB5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B0B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02E0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C44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B463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E839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E19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CA42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F4F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A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79337CB"/>
    <w:multiLevelType w:val="hybridMultilevel"/>
    <w:tmpl w:val="4B1AA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1911B29"/>
    <w:multiLevelType w:val="multilevel"/>
    <w:tmpl w:val="363E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BE1A44"/>
    <w:multiLevelType w:val="hybridMultilevel"/>
    <w:tmpl w:val="1876CCAC"/>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23744"/>
    <w:multiLevelType w:val="hybridMultilevel"/>
    <w:tmpl w:val="EAC29224"/>
    <w:lvl w:ilvl="0" w:tplc="8E1C3426">
      <w:start w:val="1"/>
      <w:numFmt w:val="bullet"/>
      <w:lvlText w:val=""/>
      <w:lvlJc w:val="left"/>
      <w:pPr>
        <w:tabs>
          <w:tab w:val="num" w:pos="72"/>
        </w:tabs>
        <w:ind w:left="-288"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1B2BA4"/>
    <w:multiLevelType w:val="hybridMultilevel"/>
    <w:tmpl w:val="F14A2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D948E3"/>
    <w:multiLevelType w:val="hybridMultilevel"/>
    <w:tmpl w:val="BCE8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D5B82"/>
    <w:multiLevelType w:val="hybridMultilevel"/>
    <w:tmpl w:val="3C84DF00"/>
    <w:lvl w:ilvl="0" w:tplc="C130C09C">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5E498C"/>
    <w:multiLevelType w:val="hybridMultilevel"/>
    <w:tmpl w:val="F6EAFA1A"/>
    <w:lvl w:ilvl="0" w:tplc="8E1C3426">
      <w:start w:val="1"/>
      <w:numFmt w:val="bullet"/>
      <w:lvlText w:val=""/>
      <w:lvlJc w:val="left"/>
      <w:pPr>
        <w:tabs>
          <w:tab w:val="num" w:pos="792"/>
        </w:tabs>
        <w:ind w:left="43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B831666"/>
    <w:multiLevelType w:val="hybridMultilevel"/>
    <w:tmpl w:val="F6EAF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5E7B7A"/>
    <w:multiLevelType w:val="hybridMultilevel"/>
    <w:tmpl w:val="A806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0928D4"/>
    <w:multiLevelType w:val="hybridMultilevel"/>
    <w:tmpl w:val="1876CCAC"/>
    <w:lvl w:ilvl="0" w:tplc="8E1C3426">
      <w:start w:val="1"/>
      <w:numFmt w:val="bullet"/>
      <w:lvlText w:val=""/>
      <w:lvlJc w:val="left"/>
      <w:pPr>
        <w:tabs>
          <w:tab w:val="num" w:pos="792"/>
        </w:tabs>
        <w:ind w:left="43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8"/>
  </w:num>
  <w:num w:numId="4">
    <w:abstractNumId w:val="20"/>
  </w:num>
  <w:num w:numId="5">
    <w:abstractNumId w:val="17"/>
  </w:num>
  <w:num w:numId="6">
    <w:abstractNumId w:val="13"/>
  </w:num>
  <w:num w:numId="7">
    <w:abstractNumId w:val="19"/>
  </w:num>
  <w:num w:numId="8">
    <w:abstractNumId w:val="22"/>
  </w:num>
  <w:num w:numId="9">
    <w:abstractNumId w:val="14"/>
  </w:num>
  <w:num w:numId="10">
    <w:abstractNumId w:val="15"/>
  </w:num>
  <w:num w:numId="11">
    <w:abstractNumId w:val="16"/>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B4"/>
    <w:rsid w:val="00043298"/>
    <w:rsid w:val="00083AC9"/>
    <w:rsid w:val="00137B7D"/>
    <w:rsid w:val="00176391"/>
    <w:rsid w:val="00244B59"/>
    <w:rsid w:val="00330875"/>
    <w:rsid w:val="00365750"/>
    <w:rsid w:val="00451B5B"/>
    <w:rsid w:val="0045319F"/>
    <w:rsid w:val="004B7EB0"/>
    <w:rsid w:val="00626927"/>
    <w:rsid w:val="006968A3"/>
    <w:rsid w:val="007276B4"/>
    <w:rsid w:val="00727E5C"/>
    <w:rsid w:val="00852EB1"/>
    <w:rsid w:val="008F21E3"/>
    <w:rsid w:val="00936EA5"/>
    <w:rsid w:val="00972CB4"/>
    <w:rsid w:val="009827B6"/>
    <w:rsid w:val="00A91947"/>
    <w:rsid w:val="00AD1225"/>
    <w:rsid w:val="00B32791"/>
    <w:rsid w:val="00C30A48"/>
    <w:rsid w:val="00CA1783"/>
    <w:rsid w:val="00CA76E6"/>
    <w:rsid w:val="00D848D7"/>
    <w:rsid w:val="00D879E0"/>
    <w:rsid w:val="00D91A14"/>
    <w:rsid w:val="00DF09EA"/>
    <w:rsid w:val="00E65C1A"/>
    <w:rsid w:val="00E75A4A"/>
    <w:rsid w:val="00F27162"/>
    <w:rsid w:val="00F55B8C"/>
    <w:rsid w:val="00F96681"/>
    <w:rsid w:val="00FB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date"/>
  <w:shapeDefaults>
    <o:shapedefaults v:ext="edit" spidmax="2061"/>
    <o:shapelayout v:ext="edit">
      <o:idmap v:ext="edit" data="1"/>
    </o:shapelayout>
  </w:shapeDefaults>
  <w:decimalSymbol w:val="."/>
  <w:listSeparator w:val=","/>
  <w14:docId w14:val="58C89DE0"/>
  <w15:chartTrackingRefBased/>
  <w15:docId w15:val="{8493913D-3FDB-4DD6-8C1A-93412098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rPr>
      <w:sz w:val="24"/>
    </w:rPr>
  </w:style>
  <w:style w:type="paragraph" w:styleId="Heading1">
    <w:name w:val="heading 1"/>
    <w:basedOn w:val="Normal"/>
    <w:next w:val="Normal"/>
    <w:qFormat/>
    <w:rsid w:val="00F27162"/>
    <w:pPr>
      <w:jc w:val="center"/>
      <w:outlineLvl w:val="0"/>
    </w:pPr>
    <w:rPr>
      <w:rFonts w:ascii="Arial" w:hAnsi="Arial"/>
      <w:b/>
      <w:smallCaps/>
      <w:spacing w:val="20"/>
      <w:sz w:val="22"/>
    </w:rPr>
  </w:style>
  <w:style w:type="paragraph" w:styleId="Heading2">
    <w:name w:val="heading 2"/>
    <w:basedOn w:val="Normal"/>
    <w:next w:val="Normal"/>
    <w:qFormat/>
    <w:rsid w:val="006968A3"/>
    <w:pPr>
      <w:spacing w:before="240"/>
      <w:outlineLvl w:val="1"/>
    </w:pPr>
    <w:rPr>
      <w:rFonts w:ascii="Arial" w:hAnsi="Arial"/>
      <w:b/>
      <w:bCs/>
      <w:sz w:val="22"/>
      <w:u w:val="single"/>
      <w:lang w:val="fr-FR"/>
    </w:rPr>
  </w:style>
  <w:style w:type="paragraph" w:styleId="Heading3">
    <w:name w:val="heading 3"/>
    <w:basedOn w:val="Normal"/>
    <w:next w:val="Normal"/>
    <w:qFormat/>
    <w:rsid w:val="00B32791"/>
    <w:pPr>
      <w:ind w:left="360" w:hanging="360"/>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sz w:val="22"/>
      <w:u w:val="single"/>
    </w:rPr>
  </w:style>
  <w:style w:type="paragraph" w:styleId="Heading5">
    <w:name w:val="heading 5"/>
    <w:basedOn w:val="Normal"/>
    <w:next w:val="Normal"/>
    <w:qFormat/>
    <w:pPr>
      <w:keepNext/>
      <w:outlineLvl w:val="4"/>
    </w:pPr>
    <w:rPr>
      <w:rFonts w:ascii="Arial" w:hAnsi="Arial" w:cs="Arial"/>
      <w:b/>
      <w:bCs/>
      <w:sz w:val="22"/>
      <w:szCs w:val="1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autoSpaceDE w:val="0"/>
      <w:autoSpaceDN w:val="0"/>
      <w:adjustRightInd w:val="0"/>
      <w:outlineLvl w:val="6"/>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87" w:lineRule="auto"/>
      <w:ind w:firstLine="720"/>
      <w:jc w:val="center"/>
    </w:pPr>
    <w:rPr>
      <w:b/>
      <w:bCs/>
      <w:sz w:val="2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BodyTextIndent">
    <w:name w:val="Body Text Indent"/>
    <w:basedOn w:val="Normal"/>
    <w:link w:val="BodyTextIndentChar"/>
    <w:pPr>
      <w:spacing w:line="287" w:lineRule="auto"/>
      <w:ind w:left="3600"/>
    </w:pPr>
  </w:style>
  <w:style w:type="paragraph" w:styleId="BodyTextIndent2">
    <w:name w:val="Body Text Indent 2"/>
    <w:basedOn w:val="Normal"/>
    <w:pPr>
      <w:spacing w:line="287" w:lineRule="auto"/>
      <w:ind w:left="360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customStyle="1" w:styleId="bold1">
    <w:name w:val="bold1"/>
    <w:basedOn w:val="DefaultParagraphFont"/>
    <w:rPr>
      <w:b/>
      <w:bCs/>
    </w:rPr>
  </w:style>
  <w:style w:type="paragraph" w:styleId="BodyTextIndent3">
    <w:name w:val="Body Text Indent 3"/>
    <w:basedOn w:val="Normal"/>
    <w:pPr>
      <w:ind w:left="360"/>
    </w:pPr>
    <w:rPr>
      <w:sz w:val="12"/>
    </w:rPr>
  </w:style>
  <w:style w:type="paragraph" w:styleId="BodyText">
    <w:name w:val="Body Text"/>
    <w:basedOn w:val="Normal"/>
    <w:link w:val="BodyTextChar"/>
    <w:rPr>
      <w:rFonts w:ascii="Arial" w:hAnsi="Arial" w:cs="Arial"/>
      <w:sz w:val="22"/>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rPr>
      <w:rFonts w:ascii="Arial" w:hAnsi="Arial" w:cs="Arial"/>
      <w:sz w:val="12"/>
      <w:szCs w:val="24"/>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451B5B"/>
    <w:rPr>
      <w:rFonts w:ascii="Arial" w:hAnsi="Arial" w:cs="Arial"/>
      <w:sz w:val="22"/>
      <w:szCs w:val="24"/>
    </w:rPr>
  </w:style>
  <w:style w:type="character" w:customStyle="1" w:styleId="BodyTextIndentChar">
    <w:name w:val="Body Text Indent Char"/>
    <w:basedOn w:val="DefaultParagraphFont"/>
    <w:link w:val="BodyTextIndent"/>
    <w:rsid w:val="00451B5B"/>
    <w:rPr>
      <w:sz w:val="24"/>
    </w:rPr>
  </w:style>
  <w:style w:type="paragraph" w:styleId="ListParagraph">
    <w:name w:val="List Paragraph"/>
    <w:basedOn w:val="Normal"/>
    <w:uiPriority w:val="34"/>
    <w:qFormat/>
    <w:rsid w:val="00FB16D6"/>
    <w:pPr>
      <w:ind w:left="720"/>
      <w:contextualSpacing/>
    </w:pPr>
  </w:style>
  <w:style w:type="paragraph" w:customStyle="1" w:styleId="Normala">
    <w:name w:val="Normal_a"/>
    <w:basedOn w:val="Normal"/>
    <w:qFormat/>
    <w:rsid w:val="00D91A1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tsdr.cdc.gov/toxprofiles/tp82.html" TargetMode="External"/><Relationship Id="rId18" Type="http://schemas.openxmlformats.org/officeDocument/2006/relationships/hyperlink" Target="http://www.oehha.ca.gov/air/chronic_rels/pdf/sum111401.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dc.gov/niosh/pel88/75-15.html"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cdc.gov/NIOSH/77-156.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c.gov/niosh/idlh/75150.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ehha.ca.gov/air/acute_rels/pdf/75150A.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iris/subst/0217.htm" TargetMode="External"/><Relationship Id="rId22" Type="http://schemas.openxmlformats.org/officeDocument/2006/relationships/header" Target="head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E10C9-C60D-4DA7-89E7-CCFD28EC7BF1}"/>
</file>

<file path=customXml/itemProps2.xml><?xml version="1.0" encoding="utf-8"?>
<ds:datastoreItem xmlns:ds="http://schemas.openxmlformats.org/officeDocument/2006/customXml" ds:itemID="{CD73DF6A-6772-4189-A349-191CB7BC9C7C}"/>
</file>

<file path=customXml/itemProps3.xml><?xml version="1.0" encoding="utf-8"?>
<ds:datastoreItem xmlns:ds="http://schemas.openxmlformats.org/officeDocument/2006/customXml" ds:itemID="{4A07241F-CC66-4600-8A95-5764CB7F32C2}"/>
</file>

<file path=docProps/app.xml><?xml version="1.0" encoding="utf-8"?>
<Properties xmlns="http://schemas.openxmlformats.org/officeDocument/2006/extended-properties" xmlns:vt="http://schemas.openxmlformats.org/officeDocument/2006/docPropsVTypes">
  <Template>Normal.dotm</Template>
  <TotalTime>18</TotalTime>
  <Pages>5</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DRAFT CARBON DISULFIDE (CS2) HEALTH EFFECTS ASSESSMENT LAST REVISED OCTOBER 24TH, 2008</vt:lpstr>
    </vt:vector>
  </TitlesOfParts>
  <Company/>
  <LinksUpToDate>false</LinksUpToDate>
  <CharactersWithSpaces>18500</CharactersWithSpaces>
  <SharedDoc>false</SharedDoc>
  <HLinks>
    <vt:vector size="42" baseType="variant">
      <vt:variant>
        <vt:i4>3276810</vt:i4>
      </vt:variant>
      <vt:variant>
        <vt:i4>20</vt:i4>
      </vt:variant>
      <vt:variant>
        <vt:i4>0</vt:i4>
      </vt:variant>
      <vt:variant>
        <vt:i4>5</vt:i4>
      </vt:variant>
      <vt:variant>
        <vt:lpwstr>http://www.oehha.ca.gov/air/acute_rels/pdf/75150A.pdf</vt:lpwstr>
      </vt:variant>
      <vt:variant>
        <vt:lpwstr/>
      </vt:variant>
      <vt:variant>
        <vt:i4>721017</vt:i4>
      </vt:variant>
      <vt:variant>
        <vt:i4>17</vt:i4>
      </vt:variant>
      <vt:variant>
        <vt:i4>0</vt:i4>
      </vt:variant>
      <vt:variant>
        <vt:i4>5</vt:i4>
      </vt:variant>
      <vt:variant>
        <vt:lpwstr>http://www.oehha.ca.gov/air/chronic_rels/pdf/sum111401.pdf</vt:lpwstr>
      </vt:variant>
      <vt:variant>
        <vt:lpwstr/>
      </vt:variant>
      <vt:variant>
        <vt:i4>6094915</vt:i4>
      </vt:variant>
      <vt:variant>
        <vt:i4>14</vt:i4>
      </vt:variant>
      <vt:variant>
        <vt:i4>0</vt:i4>
      </vt:variant>
      <vt:variant>
        <vt:i4>5</vt:i4>
      </vt:variant>
      <vt:variant>
        <vt:lpwstr>http://www.cdc.gov/niosh/pel88/75-15.html</vt:lpwstr>
      </vt:variant>
      <vt:variant>
        <vt:lpwstr/>
      </vt:variant>
      <vt:variant>
        <vt:i4>4849754</vt:i4>
      </vt:variant>
      <vt:variant>
        <vt:i4>11</vt:i4>
      </vt:variant>
      <vt:variant>
        <vt:i4>0</vt:i4>
      </vt:variant>
      <vt:variant>
        <vt:i4>5</vt:i4>
      </vt:variant>
      <vt:variant>
        <vt:lpwstr>http://www.cdc.gov/NIOSH/77-156.html</vt:lpwstr>
      </vt:variant>
      <vt:variant>
        <vt:lpwstr/>
      </vt:variant>
      <vt:variant>
        <vt:i4>5177424</vt:i4>
      </vt:variant>
      <vt:variant>
        <vt:i4>8</vt:i4>
      </vt:variant>
      <vt:variant>
        <vt:i4>0</vt:i4>
      </vt:variant>
      <vt:variant>
        <vt:i4>5</vt:i4>
      </vt:variant>
      <vt:variant>
        <vt:lpwstr>http://www.cdc.gov/niosh/idlh/75150.html</vt:lpwstr>
      </vt:variant>
      <vt:variant>
        <vt:lpwstr/>
      </vt:variant>
      <vt:variant>
        <vt:i4>3670129</vt:i4>
      </vt:variant>
      <vt:variant>
        <vt:i4>5</vt:i4>
      </vt:variant>
      <vt:variant>
        <vt:i4>0</vt:i4>
      </vt:variant>
      <vt:variant>
        <vt:i4>5</vt:i4>
      </vt:variant>
      <vt:variant>
        <vt:lpwstr>http://www.epa.gov/iris/subst/0217.htm</vt:lpwstr>
      </vt:variant>
      <vt:variant>
        <vt:lpwstr/>
      </vt:variant>
      <vt:variant>
        <vt:i4>1835090</vt:i4>
      </vt:variant>
      <vt:variant>
        <vt:i4>2</vt:i4>
      </vt:variant>
      <vt:variant>
        <vt:i4>0</vt:i4>
      </vt:variant>
      <vt:variant>
        <vt:i4>5</vt:i4>
      </vt:variant>
      <vt:variant>
        <vt:lpwstr>http://www.atsdr.cdc.gov/toxprofiles/tp82.html</vt:lpwstr>
      </vt:variant>
      <vt:variant>
        <vt:lpwstr>bookmark05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CARBON DISULFIDE (CS2) HEALTH EFFECTS ASSESSMENT LAST REVISED OCTOBER 24TH, 2008</dc:title>
  <dc:subject/>
  <dc:creator>PDO</dc:creator>
  <cp:keywords/>
  <cp:lastModifiedBy>kalai mani</cp:lastModifiedBy>
  <cp:revision>20</cp:revision>
  <cp:lastPrinted>2008-10-24T09:18:00Z</cp:lastPrinted>
  <dcterms:created xsi:type="dcterms:W3CDTF">2021-01-09T15:47:00Z</dcterms:created>
  <dcterms:modified xsi:type="dcterms:W3CDTF">2021-01-16T20:53:00Z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736351663</vt:i4>
  </property>
  <property fmtid="{D5CDD505-2E9C-101B-9397-08002B2CF9AE}" pid="3" name="_EmailSubject">
    <vt:lpwstr>dosh 5155 ac webpage update</vt:lpwstr>
  </property>
  <property fmtid="{D5CDD505-2E9C-101B-9397-08002B2CF9AE}" pid="4" name="_AuthorEmail">
    <vt:lpwstr>SSmith@dir.ca.gov</vt:lpwstr>
  </property>
  <property fmtid="{D5CDD505-2E9C-101B-9397-08002B2CF9AE}" pid="5" name="_AuthorEmailDisplayName">
    <vt:lpwstr>Steve C. Smith</vt:lpwstr>
  </property>
  <property fmtid="{D5CDD505-2E9C-101B-9397-08002B2CF9AE}" pid="6" name="_PreviousAdHocReviewCycleID">
    <vt:i4>179684062</vt:i4>
  </property>
  <property fmtid="{D5CDD505-2E9C-101B-9397-08002B2CF9AE}" pid="7" name="_ReviewingToolsShownOnce">
    <vt:lpwstr/>
  </property>
  <property fmtid="{D5CDD505-2E9C-101B-9397-08002B2CF9AE}" pid="8" name="ContentTypeId">
    <vt:lpwstr>0x0101001450F3718BF5C4448F25E32BE50472C5</vt:lpwstr>
  </property>
</Properties>
</file>